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28C3" w14:textId="77777777" w:rsidR="00EC40D3" w:rsidRPr="00386BE9" w:rsidRDefault="00EC40D3" w:rsidP="00386BE9">
      <w:pPr>
        <w:jc w:val="right"/>
        <w:rPr>
          <w:rFonts w:ascii="Times New Roman" w:hAnsi="Times New Roman" w:cs="Times New Roman"/>
          <w:b/>
          <w:sz w:val="22"/>
          <w:u w:val="single"/>
        </w:rPr>
      </w:pPr>
    </w:p>
    <w:p w14:paraId="78C2CA01" w14:textId="6CB8B49A" w:rsidR="00E943EC" w:rsidRDefault="00E943EC" w:rsidP="00E943EC">
      <w:pPr>
        <w:jc w:val="center"/>
        <w:rPr>
          <w:rFonts w:ascii="Times New Roman" w:hAnsi="Times New Roman" w:cs="Times New Roman"/>
          <w:b/>
          <w:sz w:val="28"/>
          <w:szCs w:val="28"/>
        </w:rPr>
      </w:pPr>
      <w:r w:rsidRPr="0056331D">
        <w:rPr>
          <w:rFonts w:ascii="Times New Roman" w:hAnsi="Times New Roman" w:cs="Times New Roman"/>
          <w:b/>
          <w:sz w:val="28"/>
          <w:szCs w:val="28"/>
        </w:rPr>
        <w:t>FDI and M&amp;A</w:t>
      </w:r>
      <w:r>
        <w:rPr>
          <w:rFonts w:ascii="Times New Roman" w:hAnsi="Times New Roman" w:cs="Times New Roman"/>
          <w:b/>
          <w:sz w:val="28"/>
          <w:szCs w:val="28"/>
        </w:rPr>
        <w:t xml:space="preserve"> Legal </w:t>
      </w:r>
      <w:r w:rsidRPr="008F47D4">
        <w:rPr>
          <w:rFonts w:ascii="Times New Roman" w:hAnsi="Times New Roman" w:cs="Times New Roman"/>
          <w:b/>
          <w:sz w:val="28"/>
          <w:szCs w:val="28"/>
        </w:rPr>
        <w:t>Guideline</w:t>
      </w:r>
      <w:r>
        <w:rPr>
          <w:rFonts w:ascii="Times New Roman" w:hAnsi="Times New Roman" w:cs="Times New Roman"/>
          <w:b/>
          <w:sz w:val="28"/>
          <w:szCs w:val="28"/>
        </w:rPr>
        <w:t>s</w:t>
      </w:r>
      <w:r w:rsidR="00A01086">
        <w:rPr>
          <w:rStyle w:val="af6"/>
          <w:rFonts w:ascii="Times New Roman" w:hAnsi="Times New Roman" w:cs="Times New Roman"/>
          <w:b/>
          <w:sz w:val="28"/>
          <w:szCs w:val="28"/>
        </w:rPr>
        <w:endnoteReference w:id="1"/>
      </w:r>
      <w:r>
        <w:rPr>
          <w:rFonts w:ascii="Times New Roman" w:hAnsi="Times New Roman" w:cs="Times New Roman"/>
          <w:b/>
          <w:sz w:val="28"/>
          <w:szCs w:val="28"/>
        </w:rPr>
        <w:t xml:space="preserve">: </w:t>
      </w:r>
      <w:r w:rsidRPr="009E72F4">
        <w:rPr>
          <w:rFonts w:ascii="Times New Roman" w:eastAsia="楷体" w:hAnsi="Times New Roman" w:cs="Times New Roman"/>
          <w:b/>
          <w:sz w:val="28"/>
          <w:szCs w:val="28"/>
        </w:rPr>
        <w:t xml:space="preserve">FDI </w:t>
      </w:r>
      <w:r w:rsidRPr="002E42AA">
        <w:rPr>
          <w:rFonts w:ascii="Times New Roman" w:eastAsia="楷体" w:hAnsi="Times New Roman" w:cs="Times New Roman"/>
          <w:b/>
          <w:sz w:val="28"/>
          <w:szCs w:val="28"/>
        </w:rPr>
        <w:t>in</w:t>
      </w:r>
      <w:r>
        <w:rPr>
          <w:rFonts w:ascii="Times New Roman" w:eastAsia="楷体" w:hAnsi="Times New Roman" w:cs="Times New Roman"/>
          <w:b/>
          <w:sz w:val="28"/>
          <w:szCs w:val="28"/>
        </w:rPr>
        <w:t xml:space="preserve"> </w:t>
      </w:r>
      <w:r w:rsidR="009E72F4" w:rsidRPr="009E72F4">
        <w:rPr>
          <w:rFonts w:ascii="Times New Roman" w:eastAsia="楷体" w:hAnsi="Times New Roman" w:cs="Times New Roman"/>
          <w:b/>
          <w:kern w:val="0"/>
          <w:sz w:val="28"/>
          <w:szCs w:val="28"/>
          <w:lang w:val="en-GB" w:eastAsia="en-US"/>
        </w:rPr>
        <w:t>Vietnam</w:t>
      </w:r>
      <w:r w:rsidRPr="00B20524">
        <w:rPr>
          <w:rFonts w:ascii="Times New Roman" w:eastAsia="楷体" w:hAnsi="Times New Roman" w:cs="Times New Roman"/>
          <w:b/>
          <w:sz w:val="28"/>
          <w:szCs w:val="28"/>
        </w:rPr>
        <w:t xml:space="preserve"> </w:t>
      </w:r>
    </w:p>
    <w:p w14:paraId="269C42FB" w14:textId="77777777" w:rsidR="00CE7101" w:rsidRDefault="00CE7101" w:rsidP="00CE7101">
      <w:pPr>
        <w:rPr>
          <w:rFonts w:ascii="Times New Roman" w:hAnsi="Times New Roman" w:cs="Times New Roman"/>
          <w:b/>
          <w:sz w:val="24"/>
          <w:szCs w:val="24"/>
        </w:rPr>
      </w:pPr>
    </w:p>
    <w:p w14:paraId="35E864AF" w14:textId="55A2C52E" w:rsidR="009E72F4" w:rsidRPr="009E72F4" w:rsidRDefault="009E72F4" w:rsidP="00584325">
      <w:pPr>
        <w:adjustRightInd w:val="0"/>
        <w:snapToGrid w:val="0"/>
        <w:spacing w:before="120" w:after="120" w:line="276" w:lineRule="auto"/>
        <w:ind w:right="72"/>
        <w:outlineLvl w:val="0"/>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Like in many other countries, Vietnam faced the Covid-19 challenges in 2021. Both FDI and M&amp;A transactions were down from the pre-pandemic level. With the scheduled reopening, both FDI and M&amp;A are deemed to come back strongly in 2022.</w:t>
      </w:r>
    </w:p>
    <w:p w14:paraId="2F6B5F2C" w14:textId="77777777" w:rsidR="009E72F4" w:rsidRPr="009E72F4" w:rsidRDefault="009E72F4" w:rsidP="00584325">
      <w:pPr>
        <w:adjustRightInd w:val="0"/>
        <w:snapToGrid w:val="0"/>
        <w:spacing w:before="120" w:after="120" w:line="276" w:lineRule="auto"/>
        <w:ind w:right="72"/>
        <w:outlineLvl w:val="0"/>
        <w:rPr>
          <w:rFonts w:ascii="Times New Roman" w:eastAsia="DengXian" w:hAnsi="Times New Roman" w:cs="Times New Roman"/>
          <w:color w:val="000000"/>
          <w:kern w:val="0"/>
          <w:sz w:val="24"/>
          <w:szCs w:val="24"/>
          <w:lang w:eastAsia="en-US"/>
        </w:rPr>
      </w:pPr>
    </w:p>
    <w:p w14:paraId="452EED68" w14:textId="77777777" w:rsidR="009E72F4" w:rsidRPr="009E72F4" w:rsidRDefault="009E72F4" w:rsidP="00584325">
      <w:pPr>
        <w:adjustRightInd w:val="0"/>
        <w:snapToGrid w:val="0"/>
        <w:spacing w:before="120" w:after="120" w:line="276" w:lineRule="auto"/>
        <w:ind w:right="72"/>
        <w:outlineLvl w:val="0"/>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Notable reported cases of the M&amp;A transactions in 2021 are in consumer finance, digital payment, retail, ecommerce sectors and the energy business with renewable and LGN leading tractions in this sector.</w:t>
      </w:r>
    </w:p>
    <w:p w14:paraId="34568121" w14:textId="77777777" w:rsidR="009E72F4" w:rsidRPr="009E72F4" w:rsidRDefault="009E72F4" w:rsidP="00584325">
      <w:pPr>
        <w:adjustRightInd w:val="0"/>
        <w:snapToGrid w:val="0"/>
        <w:spacing w:before="120" w:after="120" w:line="276" w:lineRule="auto"/>
        <w:ind w:right="72"/>
        <w:outlineLvl w:val="0"/>
        <w:rPr>
          <w:rFonts w:ascii="Times New Roman" w:eastAsia="DengXian" w:hAnsi="Times New Roman" w:cs="Times New Roman"/>
          <w:b/>
          <w:color w:val="000000"/>
          <w:kern w:val="0"/>
          <w:sz w:val="24"/>
          <w:szCs w:val="24"/>
          <w:lang w:val="vi-VN"/>
        </w:rPr>
      </w:pPr>
    </w:p>
    <w:p w14:paraId="75A49A5D" w14:textId="77777777" w:rsidR="009E72F4" w:rsidRPr="009E72F4" w:rsidRDefault="009E72F4" w:rsidP="00584325">
      <w:pPr>
        <w:adjustRightInd w:val="0"/>
        <w:snapToGrid w:val="0"/>
        <w:spacing w:before="120" w:after="120" w:line="276" w:lineRule="auto"/>
        <w:ind w:right="72"/>
        <w:outlineLvl w:val="0"/>
        <w:rPr>
          <w:rFonts w:ascii="Times New Roman" w:eastAsia="DengXian" w:hAnsi="Times New Roman" w:cs="Times New Roman"/>
          <w:b/>
          <w:color w:val="000000"/>
          <w:kern w:val="0"/>
          <w:sz w:val="24"/>
          <w:szCs w:val="24"/>
          <w:lang w:eastAsia="en-US"/>
        </w:rPr>
      </w:pPr>
      <w:r w:rsidRPr="009E72F4">
        <w:rPr>
          <w:rFonts w:ascii="Times New Roman" w:eastAsia="DengXian" w:hAnsi="Times New Roman" w:cs="Times New Roman"/>
          <w:b/>
          <w:color w:val="000000"/>
          <w:kern w:val="0"/>
          <w:sz w:val="24"/>
          <w:szCs w:val="24"/>
          <w:lang w:val="vi-VN"/>
        </w:rPr>
        <w:t xml:space="preserve"> </w:t>
      </w:r>
      <w:r w:rsidRPr="009E72F4">
        <w:rPr>
          <w:rFonts w:ascii="Times New Roman" w:eastAsia="DengXian" w:hAnsi="Times New Roman" w:cs="Times New Roman"/>
          <w:b/>
          <w:color w:val="000000"/>
          <w:kern w:val="0"/>
          <w:sz w:val="24"/>
          <w:szCs w:val="24"/>
          <w:lang w:val="vi-VN" w:eastAsia="en-US"/>
        </w:rPr>
        <w:t xml:space="preserve">PART 1. </w:t>
      </w:r>
      <w:r w:rsidRPr="009E72F4">
        <w:rPr>
          <w:rFonts w:ascii="Times New Roman" w:eastAsia="DengXian" w:hAnsi="Times New Roman" w:cs="Times New Roman"/>
          <w:b/>
          <w:color w:val="000000"/>
          <w:kern w:val="0"/>
          <w:sz w:val="24"/>
          <w:szCs w:val="24"/>
          <w:lang w:val="en-GB" w:eastAsia="en-US"/>
        </w:rPr>
        <w:t>FOREIGN DIRECT</w:t>
      </w:r>
      <w:r w:rsidRPr="009E72F4">
        <w:rPr>
          <w:rFonts w:ascii="Times New Roman" w:eastAsia="DengXian" w:hAnsi="Times New Roman" w:cs="Times New Roman"/>
          <w:b/>
          <w:color w:val="000000"/>
          <w:kern w:val="0"/>
          <w:sz w:val="24"/>
          <w:szCs w:val="24"/>
          <w:lang w:val="vi-VN" w:eastAsia="en-US"/>
        </w:rPr>
        <w:t xml:space="preserve"> INVESTMENT</w:t>
      </w:r>
    </w:p>
    <w:p w14:paraId="46C2D7A6" w14:textId="24DCD31E" w:rsidR="009E72F4" w:rsidRPr="009E72F4" w:rsidRDefault="009E72F4" w:rsidP="00584325">
      <w:pPr>
        <w:widowControl/>
        <w:numPr>
          <w:ilvl w:val="0"/>
          <w:numId w:val="20"/>
        </w:numPr>
        <w:adjustRightInd w:val="0"/>
        <w:snapToGrid w:val="0"/>
        <w:spacing w:before="120" w:after="120" w:line="276" w:lineRule="auto"/>
        <w:ind w:right="72"/>
        <w:contextualSpacing/>
        <w:jc w:val="left"/>
        <w:rPr>
          <w:rFonts w:ascii="Times New Roman" w:eastAsia="DengXian" w:hAnsi="Times New Roman" w:cs="Times New Roman"/>
          <w:b/>
          <w:bCs/>
          <w:color w:val="000000"/>
          <w:kern w:val="0"/>
          <w:sz w:val="24"/>
          <w:szCs w:val="24"/>
          <w:lang w:eastAsia="en-US"/>
        </w:rPr>
      </w:pPr>
      <w:r w:rsidRPr="009E72F4">
        <w:rPr>
          <w:rFonts w:ascii="Times New Roman" w:eastAsia="DengXian" w:hAnsi="Times New Roman" w:cs="Times New Roman"/>
          <w:b/>
          <w:bCs/>
          <w:color w:val="000000"/>
          <w:kern w:val="0"/>
          <w:sz w:val="24"/>
          <w:szCs w:val="24"/>
          <w:lang w:eastAsia="en-US"/>
        </w:rPr>
        <w:t>What</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are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the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principal</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laws</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and</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regulations</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applicable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to</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FDI</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in</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your jurisdiction?</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 xml:space="preserve">Are there special rules for certain foreign investors, including state-owned enterprises (SOEs)? </w:t>
      </w:r>
    </w:p>
    <w:p w14:paraId="3BD7CA81" w14:textId="77777777" w:rsidR="009E72F4" w:rsidRPr="009E72F4" w:rsidRDefault="009E72F4" w:rsidP="00584325">
      <w:pPr>
        <w:adjustRightInd w:val="0"/>
        <w:snapToGrid w:val="0"/>
        <w:spacing w:before="120" w:after="120" w:line="276" w:lineRule="auto"/>
        <w:ind w:left="360" w:right="72"/>
        <w:contextualSpacing/>
        <w:rPr>
          <w:rFonts w:ascii="Times New Roman" w:eastAsia="DengXian" w:hAnsi="Times New Roman" w:cs="Times New Roman"/>
          <w:kern w:val="0"/>
          <w:sz w:val="24"/>
          <w:szCs w:val="24"/>
        </w:rPr>
      </w:pPr>
    </w:p>
    <w:p w14:paraId="6080907A" w14:textId="77777777" w:rsidR="009E72F4" w:rsidRPr="009E72F4" w:rsidRDefault="009E72F4" w:rsidP="00584325">
      <w:pPr>
        <w:adjustRightInd w:val="0"/>
        <w:snapToGrid w:val="0"/>
        <w:spacing w:before="120" w:after="120" w:line="276" w:lineRule="auto"/>
        <w:ind w:left="360" w:right="72"/>
        <w:contextualSpacing/>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The following are the pertinent laws and regulations governing the FDI activities in Vietnam by all investors, domestic and foreign:</w:t>
      </w:r>
    </w:p>
    <w:p w14:paraId="3513D088" w14:textId="77777777" w:rsidR="009E72F4" w:rsidRPr="009E72F4" w:rsidRDefault="009E72F4" w:rsidP="00584325">
      <w:pPr>
        <w:adjustRightInd w:val="0"/>
        <w:snapToGrid w:val="0"/>
        <w:spacing w:before="120" w:after="120" w:line="276" w:lineRule="auto"/>
        <w:ind w:left="360" w:right="72"/>
        <w:contextualSpacing/>
        <w:rPr>
          <w:rFonts w:ascii="Times New Roman" w:eastAsia="DengXian" w:hAnsi="Times New Roman" w:cs="Times New Roman"/>
          <w:color w:val="000000"/>
          <w:kern w:val="0"/>
          <w:sz w:val="24"/>
          <w:szCs w:val="24"/>
        </w:rPr>
      </w:pPr>
    </w:p>
    <w:p w14:paraId="5433BE82" w14:textId="607346B5" w:rsidR="009E72F4" w:rsidRDefault="009E72F4" w:rsidP="00584325">
      <w:pPr>
        <w:widowControl/>
        <w:numPr>
          <w:ilvl w:val="0"/>
          <w:numId w:val="26"/>
        </w:numPr>
        <w:adjustRightInd w:val="0"/>
        <w:snapToGrid w:val="0"/>
        <w:spacing w:before="120" w:after="120" w:line="276" w:lineRule="auto"/>
        <w:ind w:right="72" w:hanging="720"/>
        <w:contextualSpacing/>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Law on Investment No. 61/2020QH14 passed by the National Assembly of Vietnam on 17 June 2020 (effective as of January 1, 2021) (</w:t>
      </w:r>
      <w:r w:rsidRPr="005A6E2E">
        <w:rPr>
          <w:rFonts w:ascii="Times New Roman" w:eastAsia="DengXian" w:hAnsi="Times New Roman" w:cs="Times New Roman"/>
          <w:b/>
          <w:bCs/>
          <w:color w:val="000000"/>
          <w:kern w:val="0"/>
          <w:sz w:val="24"/>
          <w:szCs w:val="24"/>
          <w:lang w:eastAsia="en-US"/>
        </w:rPr>
        <w:t>“LOI”</w:t>
      </w:r>
      <w:r w:rsidRPr="009E72F4">
        <w:rPr>
          <w:rFonts w:ascii="Times New Roman" w:eastAsia="DengXian" w:hAnsi="Times New Roman" w:cs="Times New Roman"/>
          <w:color w:val="000000"/>
          <w:kern w:val="0"/>
          <w:sz w:val="24"/>
          <w:szCs w:val="24"/>
          <w:lang w:eastAsia="en-US"/>
        </w:rPr>
        <w:t>);</w:t>
      </w:r>
    </w:p>
    <w:p w14:paraId="416C7528" w14:textId="77777777" w:rsidR="009E72F4" w:rsidRPr="009E72F4" w:rsidRDefault="009E72F4" w:rsidP="00584325">
      <w:pPr>
        <w:widowControl/>
        <w:adjustRightInd w:val="0"/>
        <w:snapToGrid w:val="0"/>
        <w:spacing w:before="120" w:after="120" w:line="276" w:lineRule="auto"/>
        <w:ind w:left="1080" w:right="72"/>
        <w:contextualSpacing/>
        <w:jc w:val="left"/>
        <w:rPr>
          <w:rFonts w:ascii="Times New Roman" w:eastAsia="DengXian" w:hAnsi="Times New Roman" w:cs="Times New Roman"/>
          <w:color w:val="000000"/>
          <w:kern w:val="0"/>
          <w:sz w:val="24"/>
          <w:szCs w:val="24"/>
          <w:lang w:eastAsia="en-US"/>
        </w:rPr>
      </w:pPr>
    </w:p>
    <w:p w14:paraId="53CB52ED" w14:textId="78D74C7B" w:rsidR="009E72F4" w:rsidRPr="009E72F4" w:rsidRDefault="009E72F4" w:rsidP="00584325">
      <w:pPr>
        <w:widowControl/>
        <w:numPr>
          <w:ilvl w:val="0"/>
          <w:numId w:val="26"/>
        </w:numPr>
        <w:adjustRightInd w:val="0"/>
        <w:snapToGrid w:val="0"/>
        <w:spacing w:before="120" w:after="120" w:line="276" w:lineRule="auto"/>
        <w:ind w:right="72" w:hanging="720"/>
        <w:contextualSpacing/>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 xml:space="preserve">Decree No. 31/2021/ND-CP of the Government dated 26 March 2021 with detailed regulations for implementation of the Law on Investment </w:t>
      </w:r>
      <w:r w:rsidRPr="009E72F4">
        <w:rPr>
          <w:rFonts w:ascii="Times New Roman" w:eastAsia="DengXian" w:hAnsi="Times New Roman" w:cs="Times New Roman"/>
          <w:b/>
          <w:bCs/>
          <w:color w:val="000000"/>
          <w:kern w:val="0"/>
          <w:sz w:val="24"/>
          <w:szCs w:val="24"/>
          <w:lang w:eastAsia="en-US"/>
        </w:rPr>
        <w:t>(</w:t>
      </w:r>
      <w:r w:rsidRPr="009E72F4">
        <w:rPr>
          <w:rFonts w:ascii="Times New Roman" w:eastAsia="DengXian" w:hAnsi="Times New Roman" w:cs="Times New Roman"/>
          <w:b/>
          <w:bCs/>
          <w:color w:val="000000"/>
          <w:kern w:val="0"/>
          <w:sz w:val="24"/>
          <w:szCs w:val="24"/>
          <w:lang w:val="vi-VN" w:eastAsia="en-US"/>
        </w:rPr>
        <w:t>“</w:t>
      </w:r>
      <w:r w:rsidRPr="009E72F4">
        <w:rPr>
          <w:rFonts w:ascii="Times New Roman" w:eastAsia="DengXian" w:hAnsi="Times New Roman" w:cs="Times New Roman"/>
          <w:b/>
          <w:bCs/>
          <w:color w:val="000000"/>
          <w:kern w:val="0"/>
          <w:sz w:val="24"/>
          <w:szCs w:val="24"/>
          <w:lang w:eastAsia="en-US"/>
        </w:rPr>
        <w:t>Decree 31</w:t>
      </w:r>
      <w:r w:rsidRPr="009E72F4">
        <w:rPr>
          <w:rFonts w:ascii="Times New Roman" w:eastAsia="DengXian" w:hAnsi="Times New Roman" w:cs="Times New Roman"/>
          <w:b/>
          <w:bCs/>
          <w:color w:val="000000"/>
          <w:kern w:val="0"/>
          <w:sz w:val="24"/>
          <w:szCs w:val="24"/>
          <w:lang w:val="vi-VN" w:eastAsia="en-US"/>
        </w:rPr>
        <w:t>”</w:t>
      </w:r>
      <w:r w:rsidRPr="009E72F4">
        <w:rPr>
          <w:rFonts w:ascii="Times New Roman" w:eastAsia="DengXian" w:hAnsi="Times New Roman" w:cs="Times New Roman"/>
          <w:b/>
          <w:bCs/>
          <w:color w:val="000000"/>
          <w:kern w:val="0"/>
          <w:sz w:val="24"/>
          <w:szCs w:val="24"/>
          <w:lang w:eastAsia="en-US"/>
        </w:rPr>
        <w:t>)</w:t>
      </w:r>
      <w:r w:rsidRPr="009E72F4">
        <w:rPr>
          <w:rFonts w:ascii="Times New Roman" w:eastAsia="DengXian" w:hAnsi="Times New Roman" w:cs="Times New Roman"/>
          <w:b/>
          <w:bCs/>
          <w:color w:val="000000"/>
          <w:kern w:val="0"/>
          <w:sz w:val="24"/>
          <w:szCs w:val="24"/>
          <w:lang w:val="vi-VN" w:eastAsia="en-US"/>
        </w:rPr>
        <w:t>.</w:t>
      </w:r>
    </w:p>
    <w:p w14:paraId="769DF96D" w14:textId="77777777" w:rsidR="009E72F4" w:rsidRPr="009E72F4" w:rsidRDefault="009E72F4" w:rsidP="00584325">
      <w:pPr>
        <w:widowControl/>
        <w:adjustRightInd w:val="0"/>
        <w:snapToGrid w:val="0"/>
        <w:spacing w:before="120" w:after="120" w:line="276" w:lineRule="auto"/>
        <w:ind w:left="1080" w:right="72"/>
        <w:contextualSpacing/>
        <w:jc w:val="left"/>
        <w:rPr>
          <w:rFonts w:ascii="Times New Roman" w:eastAsia="DengXian" w:hAnsi="Times New Roman" w:cs="Times New Roman"/>
          <w:color w:val="000000"/>
          <w:kern w:val="0"/>
          <w:sz w:val="24"/>
          <w:szCs w:val="24"/>
          <w:lang w:eastAsia="en-US"/>
        </w:rPr>
      </w:pPr>
    </w:p>
    <w:p w14:paraId="3DF49167" w14:textId="77777777" w:rsidR="009E72F4" w:rsidRPr="009E72F4" w:rsidRDefault="009E72F4" w:rsidP="00584325">
      <w:pPr>
        <w:widowControl/>
        <w:numPr>
          <w:ilvl w:val="0"/>
          <w:numId w:val="26"/>
        </w:numPr>
        <w:adjustRightInd w:val="0"/>
        <w:snapToGrid w:val="0"/>
        <w:spacing w:before="120" w:after="120" w:line="276" w:lineRule="auto"/>
        <w:ind w:right="72" w:hanging="720"/>
        <w:contextualSpacing/>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Circular No. 03/2021/TT-BKHDT of the Ministry of Planning and Investment dated 09 April 2021 prescribing templates for documents and reports related to investment activities in Vietnam</w:t>
      </w:r>
      <w:r w:rsidRPr="009E72F4">
        <w:rPr>
          <w:rFonts w:ascii="Times New Roman" w:eastAsia="DengXian" w:hAnsi="Times New Roman" w:cs="Times New Roman"/>
          <w:color w:val="000000"/>
          <w:kern w:val="0"/>
          <w:sz w:val="24"/>
          <w:szCs w:val="24"/>
        </w:rPr>
        <w:t>,</w:t>
      </w:r>
      <w:r w:rsidRPr="009E72F4">
        <w:rPr>
          <w:rFonts w:ascii="Times New Roman" w:eastAsia="DengXian" w:hAnsi="Times New Roman" w:cs="Times New Roman"/>
          <w:color w:val="000000"/>
          <w:kern w:val="0"/>
          <w:sz w:val="24"/>
          <w:szCs w:val="24"/>
          <w:lang w:eastAsia="en-US"/>
        </w:rPr>
        <w:t xml:space="preserve"> outward investment activities and investment promotion activities (</w:t>
      </w:r>
      <w:r w:rsidRPr="005A6E2E">
        <w:rPr>
          <w:rFonts w:ascii="Times New Roman" w:eastAsia="DengXian" w:hAnsi="Times New Roman" w:cs="Times New Roman"/>
          <w:b/>
          <w:bCs/>
          <w:color w:val="000000"/>
          <w:kern w:val="0"/>
          <w:sz w:val="24"/>
          <w:szCs w:val="24"/>
          <w:lang w:eastAsia="en-US"/>
        </w:rPr>
        <w:t>“Circular 03/2021”</w:t>
      </w:r>
      <w:r w:rsidRPr="009E72F4">
        <w:rPr>
          <w:rFonts w:ascii="Times New Roman" w:eastAsia="DengXian" w:hAnsi="Times New Roman" w:cs="Times New Roman"/>
          <w:color w:val="000000"/>
          <w:kern w:val="0"/>
          <w:sz w:val="24"/>
          <w:szCs w:val="24"/>
          <w:lang w:eastAsia="en-US"/>
        </w:rPr>
        <w:t>).</w:t>
      </w:r>
    </w:p>
    <w:p w14:paraId="09F87725" w14:textId="77777777" w:rsidR="009E72F4" w:rsidRPr="009E72F4" w:rsidRDefault="009E72F4" w:rsidP="00584325">
      <w:pPr>
        <w:adjustRightInd w:val="0"/>
        <w:snapToGrid w:val="0"/>
        <w:spacing w:before="120" w:after="120" w:line="276" w:lineRule="auto"/>
        <w:ind w:left="360" w:right="72"/>
        <w:contextualSpacing/>
        <w:rPr>
          <w:rFonts w:ascii="Times New Roman" w:eastAsia="DengXian" w:hAnsi="Times New Roman" w:cs="Times New Roman"/>
          <w:color w:val="000000"/>
          <w:kern w:val="0"/>
          <w:sz w:val="24"/>
          <w:szCs w:val="24"/>
        </w:rPr>
      </w:pPr>
    </w:p>
    <w:p w14:paraId="1BFF75A6" w14:textId="77777777" w:rsidR="009E72F4" w:rsidRPr="009E72F4" w:rsidRDefault="009E72F4" w:rsidP="00584325">
      <w:pPr>
        <w:adjustRightInd w:val="0"/>
        <w:snapToGrid w:val="0"/>
        <w:spacing w:before="120" w:after="120" w:line="276" w:lineRule="auto"/>
        <w:ind w:left="360" w:right="72"/>
        <w:contextualSpacing/>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 xml:space="preserve">There are no special regulations that are applicable to certain type of investors such as a state-owned enterprise (SOEs). </w:t>
      </w:r>
    </w:p>
    <w:p w14:paraId="6E15319E" w14:textId="77777777" w:rsidR="009E72F4" w:rsidRPr="009E72F4" w:rsidRDefault="009E72F4" w:rsidP="00584325">
      <w:pPr>
        <w:adjustRightInd w:val="0"/>
        <w:snapToGrid w:val="0"/>
        <w:spacing w:before="120" w:after="120" w:line="276" w:lineRule="auto"/>
        <w:ind w:left="360" w:right="72"/>
        <w:contextualSpacing/>
        <w:rPr>
          <w:rFonts w:ascii="Times New Roman" w:eastAsia="DengXian" w:hAnsi="Times New Roman" w:cs="Times New Roman"/>
          <w:color w:val="000000"/>
          <w:kern w:val="0"/>
          <w:sz w:val="24"/>
          <w:szCs w:val="24"/>
          <w:lang w:val="en-GB"/>
        </w:rPr>
      </w:pPr>
    </w:p>
    <w:p w14:paraId="3E1D59A2" w14:textId="77777777" w:rsidR="009E72F4" w:rsidRPr="009E72F4" w:rsidRDefault="009E72F4" w:rsidP="00584325">
      <w:pPr>
        <w:widowControl/>
        <w:numPr>
          <w:ilvl w:val="0"/>
          <w:numId w:val="20"/>
        </w:numPr>
        <w:adjustRightInd w:val="0"/>
        <w:snapToGrid w:val="0"/>
        <w:spacing w:before="120" w:after="120" w:line="276" w:lineRule="auto"/>
        <w:ind w:left="0" w:right="72"/>
        <w:contextualSpacing/>
        <w:jc w:val="left"/>
        <w:rPr>
          <w:rFonts w:ascii="Times New Roman" w:eastAsia="DengXian" w:hAnsi="Times New Roman" w:cs="Times New Roman"/>
          <w:b/>
          <w:bCs/>
          <w:color w:val="000000"/>
          <w:kern w:val="0"/>
          <w:sz w:val="24"/>
          <w:szCs w:val="24"/>
          <w:lang w:eastAsia="en-US"/>
        </w:rPr>
      </w:pPr>
      <w:r w:rsidRPr="009E72F4">
        <w:rPr>
          <w:rFonts w:ascii="Times New Roman" w:eastAsia="DengXian" w:hAnsi="Times New Roman" w:cs="Times New Roman"/>
          <w:b/>
          <w:bCs/>
          <w:color w:val="000000"/>
          <w:kern w:val="0"/>
          <w:sz w:val="24"/>
          <w:szCs w:val="24"/>
          <w:lang w:eastAsia="en-US"/>
        </w:rPr>
        <w:t>Are there any governmental and regulatory approvals required for FDI? If so, please give brief details (such as trigger threshold, relevant authority and timing requirements)?</w:t>
      </w:r>
    </w:p>
    <w:p w14:paraId="506061C4" w14:textId="77777777" w:rsidR="009E72F4" w:rsidRPr="009E72F4" w:rsidRDefault="009E72F4" w:rsidP="00584325">
      <w:pPr>
        <w:adjustRightInd w:val="0"/>
        <w:snapToGrid w:val="0"/>
        <w:spacing w:before="120" w:after="120" w:line="276" w:lineRule="auto"/>
        <w:ind w:left="360" w:right="72"/>
        <w:rPr>
          <w:rFonts w:ascii="Times New Roman" w:eastAsia="DengXian" w:hAnsi="Times New Roman" w:cs="Times New Roman"/>
          <w:bCs/>
          <w:color w:val="000000"/>
          <w:kern w:val="0"/>
          <w:sz w:val="24"/>
          <w:szCs w:val="24"/>
        </w:rPr>
      </w:pPr>
    </w:p>
    <w:p w14:paraId="1C938149" w14:textId="4A4A260E" w:rsidR="009E72F4" w:rsidRDefault="009E72F4" w:rsidP="00584325">
      <w:pPr>
        <w:adjustRightInd w:val="0"/>
        <w:snapToGrid w:val="0"/>
        <w:spacing w:before="120" w:after="120" w:line="276" w:lineRule="auto"/>
        <w:ind w:left="360" w:right="72"/>
        <w:rPr>
          <w:rFonts w:ascii="Times New Roman" w:eastAsia="DengXian" w:hAnsi="Times New Roman" w:cs="Times New Roman"/>
          <w:bCs/>
          <w:color w:val="000000"/>
          <w:kern w:val="0"/>
          <w:sz w:val="24"/>
          <w:szCs w:val="24"/>
          <w:lang w:eastAsia="en-US"/>
        </w:rPr>
      </w:pPr>
      <w:r w:rsidRPr="009E72F4">
        <w:rPr>
          <w:rFonts w:ascii="Times New Roman" w:eastAsia="DengXian" w:hAnsi="Times New Roman" w:cs="Times New Roman"/>
          <w:bCs/>
          <w:color w:val="000000"/>
          <w:kern w:val="0"/>
          <w:sz w:val="24"/>
          <w:szCs w:val="24"/>
          <w:lang w:eastAsia="en-US"/>
        </w:rPr>
        <w:t xml:space="preserve">Approvals are required for FDI. </w:t>
      </w:r>
      <w:r>
        <w:rPr>
          <w:rFonts w:ascii="Times New Roman" w:eastAsia="DengXian" w:hAnsi="Times New Roman" w:cs="Times New Roman"/>
          <w:bCs/>
          <w:color w:val="000000"/>
          <w:kern w:val="0"/>
          <w:sz w:val="24"/>
          <w:szCs w:val="24"/>
          <w:lang w:eastAsia="en-US"/>
        </w:rPr>
        <w:t>T</w:t>
      </w:r>
      <w:r w:rsidRPr="009E72F4">
        <w:rPr>
          <w:rFonts w:ascii="Times New Roman" w:eastAsia="DengXian" w:hAnsi="Times New Roman" w:cs="Times New Roman"/>
          <w:bCs/>
          <w:color w:val="000000"/>
          <w:kern w:val="0"/>
          <w:sz w:val="24"/>
          <w:szCs w:val="24"/>
          <w:lang w:eastAsia="en-US"/>
        </w:rPr>
        <w:t>he investment procedures</w:t>
      </w:r>
      <w:r>
        <w:rPr>
          <w:rFonts w:ascii="Times New Roman" w:eastAsia="DengXian" w:hAnsi="Times New Roman" w:cs="Times New Roman"/>
          <w:bCs/>
          <w:color w:val="000000"/>
          <w:kern w:val="0"/>
          <w:sz w:val="24"/>
          <w:szCs w:val="24"/>
          <w:lang w:eastAsia="en-US"/>
        </w:rPr>
        <w:t xml:space="preserve"> are set forth as follows</w:t>
      </w:r>
      <w:r w:rsidRPr="009E72F4">
        <w:rPr>
          <w:rFonts w:ascii="Times New Roman" w:eastAsia="DengXian" w:hAnsi="Times New Roman" w:cs="Times New Roman"/>
          <w:bCs/>
          <w:color w:val="000000"/>
          <w:kern w:val="0"/>
          <w:sz w:val="24"/>
          <w:szCs w:val="24"/>
          <w:lang w:eastAsia="en-US"/>
        </w:rPr>
        <w:t>:</w:t>
      </w:r>
    </w:p>
    <w:p w14:paraId="19A2C174" w14:textId="77777777" w:rsidR="009E72F4" w:rsidRPr="009E72F4" w:rsidRDefault="009E72F4" w:rsidP="00584325">
      <w:pPr>
        <w:adjustRightInd w:val="0"/>
        <w:snapToGrid w:val="0"/>
        <w:spacing w:before="120" w:after="120" w:line="276" w:lineRule="auto"/>
        <w:ind w:left="360" w:right="72"/>
        <w:rPr>
          <w:rFonts w:ascii="Times New Roman" w:eastAsia="DengXian" w:hAnsi="Times New Roman" w:cs="Times New Roman"/>
          <w:bCs/>
          <w:color w:val="000000"/>
          <w:kern w:val="0"/>
          <w:sz w:val="24"/>
          <w:szCs w:val="24"/>
          <w:lang w:eastAsia="en-US"/>
        </w:rPr>
      </w:pPr>
    </w:p>
    <w:p w14:paraId="0A39661D" w14:textId="13E434DE" w:rsidR="009E72F4" w:rsidRDefault="009E72F4" w:rsidP="00584325">
      <w:pPr>
        <w:widowControl/>
        <w:numPr>
          <w:ilvl w:val="0"/>
          <w:numId w:val="32"/>
        </w:numPr>
        <w:adjustRightInd w:val="0"/>
        <w:snapToGrid w:val="0"/>
        <w:spacing w:before="120" w:after="120" w:line="276" w:lineRule="auto"/>
        <w:ind w:right="72"/>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 xml:space="preserve">Investment policy approval (IPA) for certain types of investment. </w:t>
      </w:r>
    </w:p>
    <w:p w14:paraId="34CCE531" w14:textId="77777777" w:rsidR="009E72F4" w:rsidRPr="009E72F4" w:rsidRDefault="009E72F4" w:rsidP="00584325">
      <w:pPr>
        <w:widowControl/>
        <w:adjustRightInd w:val="0"/>
        <w:snapToGrid w:val="0"/>
        <w:spacing w:before="120" w:after="120" w:line="276" w:lineRule="auto"/>
        <w:ind w:left="720" w:right="72"/>
        <w:jc w:val="left"/>
        <w:rPr>
          <w:rFonts w:ascii="Times New Roman" w:eastAsia="DengXian" w:hAnsi="Times New Roman" w:cs="Times New Roman"/>
          <w:color w:val="000000"/>
          <w:kern w:val="0"/>
          <w:sz w:val="24"/>
          <w:szCs w:val="24"/>
          <w:lang w:eastAsia="en-US"/>
        </w:rPr>
      </w:pPr>
    </w:p>
    <w:p w14:paraId="7A544C06" w14:textId="58DA7C35" w:rsidR="009E72F4" w:rsidRDefault="009E72F4" w:rsidP="00584325">
      <w:pPr>
        <w:adjustRightInd w:val="0"/>
        <w:snapToGrid w:val="0"/>
        <w:spacing w:before="120" w:after="120" w:line="276" w:lineRule="auto"/>
        <w:ind w:left="720" w:right="72"/>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 xml:space="preserve">IPA is required for both domestic and foreign investors when the intended investment falls into certain types of project </w:t>
      </w:r>
      <w:r w:rsidRPr="009E72F4">
        <w:rPr>
          <w:rFonts w:ascii="Times New Roman" w:eastAsia="DengXian" w:hAnsi="Times New Roman" w:cs="Times New Roman" w:hint="eastAsia"/>
          <w:color w:val="000000"/>
          <w:kern w:val="0"/>
          <w:sz w:val="24"/>
          <w:szCs w:val="24"/>
        </w:rPr>
        <w:t>（</w:t>
      </w:r>
      <w:r w:rsidRPr="009E72F4">
        <w:rPr>
          <w:rFonts w:ascii="Times New Roman" w:eastAsia="DengXian" w:hAnsi="Times New Roman" w:cs="Times New Roman" w:hint="eastAsia"/>
          <w:color w:val="000000"/>
          <w:kern w:val="0"/>
          <w:sz w:val="24"/>
          <w:szCs w:val="24"/>
        </w:rPr>
        <w:t>for</w:t>
      </w:r>
      <w:r w:rsidRPr="009E72F4">
        <w:rPr>
          <w:rFonts w:ascii="Times New Roman" w:eastAsia="DengXian" w:hAnsi="Times New Roman" w:cs="Times New Roman"/>
          <w:color w:val="000000"/>
          <w:kern w:val="0"/>
          <w:sz w:val="24"/>
          <w:szCs w:val="24"/>
        </w:rPr>
        <w:t xml:space="preserve"> </w:t>
      </w:r>
      <w:r w:rsidRPr="009E72F4">
        <w:rPr>
          <w:rFonts w:ascii="Times New Roman" w:eastAsia="DengXian" w:hAnsi="Times New Roman" w:cs="Times New Roman" w:hint="eastAsia"/>
          <w:color w:val="000000"/>
          <w:kern w:val="0"/>
          <w:sz w:val="24"/>
          <w:szCs w:val="24"/>
        </w:rPr>
        <w:t>example</w:t>
      </w:r>
      <w:r w:rsidRPr="009E72F4">
        <w:rPr>
          <w:rFonts w:ascii="Times New Roman" w:eastAsia="DengXian" w:hAnsi="Times New Roman" w:cs="Times New Roman"/>
          <w:color w:val="000000"/>
          <w:kern w:val="0"/>
          <w:sz w:val="24"/>
          <w:szCs w:val="24"/>
        </w:rPr>
        <w:t>, gaming projects; special economic zone</w:t>
      </w:r>
      <w:r w:rsidRPr="009E72F4">
        <w:rPr>
          <w:rFonts w:ascii="Times New Roman" w:eastAsia="DengXian" w:hAnsi="Times New Roman" w:cs="Times New Roman" w:hint="eastAsia"/>
          <w:color w:val="000000"/>
          <w:kern w:val="0"/>
          <w:sz w:val="24"/>
          <w:szCs w:val="24"/>
        </w:rPr>
        <w:t>）</w:t>
      </w:r>
      <w:r w:rsidRPr="009E72F4">
        <w:rPr>
          <w:rFonts w:ascii="Times New Roman" w:eastAsia="DengXian" w:hAnsi="Times New Roman" w:cs="Times New Roman"/>
          <w:color w:val="000000"/>
          <w:kern w:val="0"/>
          <w:sz w:val="24"/>
          <w:szCs w:val="24"/>
        </w:rPr>
        <w:t xml:space="preserve"> </w:t>
      </w:r>
      <w:r w:rsidRPr="009E72F4">
        <w:rPr>
          <w:rFonts w:ascii="Times New Roman" w:eastAsia="DengXian" w:hAnsi="Times New Roman" w:cs="Times New Roman" w:hint="eastAsia"/>
          <w:color w:val="000000"/>
          <w:kern w:val="0"/>
          <w:sz w:val="24"/>
          <w:szCs w:val="24"/>
        </w:rPr>
        <w:t>.</w:t>
      </w:r>
      <w:r>
        <w:rPr>
          <w:rFonts w:ascii="Times New Roman" w:eastAsia="DengXian" w:hAnsi="Times New Roman" w:cs="Times New Roman"/>
          <w:color w:val="000000"/>
          <w:kern w:val="0"/>
          <w:sz w:val="24"/>
          <w:szCs w:val="24"/>
          <w:lang w:eastAsia="en-US"/>
        </w:rPr>
        <w:t xml:space="preserve"> </w:t>
      </w:r>
      <w:r w:rsidRPr="009E72F4">
        <w:rPr>
          <w:rFonts w:ascii="Times New Roman" w:eastAsia="DengXian" w:hAnsi="Times New Roman" w:cs="Times New Roman"/>
          <w:color w:val="000000"/>
          <w:kern w:val="0"/>
          <w:sz w:val="24"/>
          <w:szCs w:val="24"/>
          <w:lang w:eastAsia="en-US"/>
        </w:rPr>
        <w:t>The investor will need to apply for and receive the IPA prior to the investment with either, depending on the type of investment, the National Assembly, the Prime Minister or the Provincial Peoples’ Committee.</w:t>
      </w:r>
      <w:r>
        <w:rPr>
          <w:rFonts w:ascii="Times New Roman" w:eastAsia="DengXian" w:hAnsi="Times New Roman" w:cs="Times New Roman"/>
          <w:color w:val="000000"/>
          <w:kern w:val="0"/>
          <w:sz w:val="24"/>
          <w:szCs w:val="24"/>
          <w:lang w:eastAsia="en-US"/>
        </w:rPr>
        <w:t xml:space="preserve"> </w:t>
      </w:r>
    </w:p>
    <w:p w14:paraId="04590EC6" w14:textId="77777777" w:rsidR="009E72F4" w:rsidRPr="009E72F4" w:rsidRDefault="009E72F4" w:rsidP="00584325">
      <w:pPr>
        <w:adjustRightInd w:val="0"/>
        <w:snapToGrid w:val="0"/>
        <w:spacing w:before="120" w:after="120" w:line="276" w:lineRule="auto"/>
        <w:ind w:left="720" w:right="72"/>
        <w:rPr>
          <w:rFonts w:ascii="Times New Roman" w:eastAsia="DengXian" w:hAnsi="Times New Roman" w:cs="Times New Roman"/>
          <w:color w:val="000000"/>
          <w:kern w:val="0"/>
          <w:sz w:val="24"/>
          <w:szCs w:val="24"/>
          <w:lang w:eastAsia="en-US"/>
        </w:rPr>
      </w:pPr>
    </w:p>
    <w:p w14:paraId="7C02167C" w14:textId="77777777" w:rsidR="009E72F4" w:rsidRPr="009E72F4" w:rsidRDefault="009E72F4" w:rsidP="00584325">
      <w:pPr>
        <w:widowControl/>
        <w:numPr>
          <w:ilvl w:val="0"/>
          <w:numId w:val="32"/>
        </w:numPr>
        <w:adjustRightInd w:val="0"/>
        <w:snapToGrid w:val="0"/>
        <w:spacing w:before="120" w:after="120" w:line="276" w:lineRule="auto"/>
        <w:ind w:right="72"/>
        <w:contextualSpacing/>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 xml:space="preserve">Investment Registration Certificate (IRC) which details the investment project. </w:t>
      </w:r>
    </w:p>
    <w:p w14:paraId="5E2AB078" w14:textId="77777777" w:rsidR="009E72F4" w:rsidRDefault="009E72F4" w:rsidP="00584325">
      <w:pPr>
        <w:tabs>
          <w:tab w:val="left" w:pos="720"/>
        </w:tabs>
        <w:adjustRightInd w:val="0"/>
        <w:snapToGrid w:val="0"/>
        <w:spacing w:before="120" w:after="120" w:line="276" w:lineRule="auto"/>
        <w:ind w:left="720" w:right="72"/>
        <w:rPr>
          <w:rFonts w:ascii="Times New Roman" w:eastAsia="宋体" w:hAnsi="Times New Roman" w:cs="Times New Roman"/>
          <w:color w:val="000000"/>
          <w:kern w:val="0"/>
          <w:sz w:val="24"/>
          <w:szCs w:val="24"/>
        </w:rPr>
      </w:pPr>
    </w:p>
    <w:p w14:paraId="77A2EF2A" w14:textId="679870C2" w:rsidR="009E72F4" w:rsidRPr="009E72F4" w:rsidRDefault="009E72F4" w:rsidP="00584325">
      <w:pPr>
        <w:tabs>
          <w:tab w:val="left" w:pos="720"/>
        </w:tabs>
        <w:adjustRightInd w:val="0"/>
        <w:snapToGrid w:val="0"/>
        <w:spacing w:before="120" w:after="120" w:line="276" w:lineRule="auto"/>
        <w:ind w:left="720" w:right="72"/>
        <w:rPr>
          <w:rFonts w:ascii="Times New Roman" w:eastAsia="DengXian" w:hAnsi="Times New Roman" w:cs="Times New Roman"/>
          <w:color w:val="000000"/>
          <w:kern w:val="0"/>
          <w:sz w:val="24"/>
          <w:szCs w:val="24"/>
          <w:lang w:val="en-GB" w:eastAsia="en-US"/>
        </w:rPr>
      </w:pPr>
      <w:r w:rsidRPr="009E72F4">
        <w:rPr>
          <w:rFonts w:ascii="Times New Roman" w:eastAsia="DengXian" w:hAnsi="Times New Roman" w:cs="Times New Roman"/>
          <w:color w:val="000000"/>
          <w:kern w:val="0"/>
          <w:sz w:val="24"/>
          <w:szCs w:val="24"/>
          <w:lang w:val="en-GB" w:eastAsia="en-US"/>
        </w:rPr>
        <w:t>When the investment project is located outside the industrial zones, the investors will need to obtain the IRC from the local Department of Planning and Investment; when the investment</w:t>
      </w:r>
      <w:r w:rsidRPr="009E72F4">
        <w:rPr>
          <w:rFonts w:ascii="Times New Roman" w:eastAsia="DengXian" w:hAnsi="Times New Roman" w:cs="Times New Roman"/>
          <w:iCs/>
          <w:color w:val="000000"/>
          <w:kern w:val="0"/>
          <w:sz w:val="24"/>
          <w:szCs w:val="24"/>
          <w:lang w:val="en-GB" w:eastAsia="en-US"/>
        </w:rPr>
        <w:t xml:space="preserve"> project is located inside the industrial zones, export processing zones, high-tech zones</w:t>
      </w:r>
      <w:r w:rsidRPr="009E72F4">
        <w:rPr>
          <w:rFonts w:ascii="Times New Roman" w:eastAsia="DengXian" w:hAnsi="Times New Roman" w:cs="Times New Roman"/>
          <w:iCs/>
          <w:color w:val="000000"/>
          <w:kern w:val="0"/>
          <w:sz w:val="24"/>
          <w:szCs w:val="24"/>
          <w:lang w:val="vi-VN" w:eastAsia="en-US"/>
        </w:rPr>
        <w:t xml:space="preserve"> </w:t>
      </w:r>
      <w:r w:rsidRPr="009E72F4">
        <w:rPr>
          <w:rFonts w:ascii="Times New Roman" w:eastAsia="DengXian" w:hAnsi="Times New Roman" w:cs="Times New Roman"/>
          <w:iCs/>
          <w:color w:val="000000"/>
          <w:kern w:val="0"/>
          <w:sz w:val="24"/>
          <w:szCs w:val="24"/>
          <w:lang w:val="en-GB" w:eastAsia="en-US"/>
        </w:rPr>
        <w:t xml:space="preserve">and economic zones, then the IRC is applied with and granted by </w:t>
      </w:r>
      <w:r w:rsidRPr="009E72F4">
        <w:rPr>
          <w:rFonts w:ascii="Times New Roman" w:eastAsia="DengXian" w:hAnsi="Times New Roman" w:cs="Times New Roman"/>
          <w:color w:val="000000"/>
          <w:kern w:val="0"/>
          <w:sz w:val="24"/>
          <w:szCs w:val="24"/>
          <w:lang w:val="en-GB" w:eastAsia="en-US"/>
        </w:rPr>
        <w:t xml:space="preserve">the management board of such a zone. </w:t>
      </w:r>
    </w:p>
    <w:p w14:paraId="565900FF" w14:textId="77777777" w:rsidR="009E72F4" w:rsidRPr="009E72F4" w:rsidRDefault="009E72F4" w:rsidP="00584325">
      <w:pPr>
        <w:widowControl/>
        <w:numPr>
          <w:ilvl w:val="0"/>
          <w:numId w:val="32"/>
        </w:numPr>
        <w:adjustRightInd w:val="0"/>
        <w:snapToGrid w:val="0"/>
        <w:spacing w:before="120" w:after="120" w:line="276" w:lineRule="auto"/>
        <w:ind w:right="72"/>
        <w:contextualSpacing/>
        <w:jc w:val="left"/>
        <w:rPr>
          <w:rFonts w:ascii="Times New Roman" w:eastAsia="DengXian" w:hAnsi="Times New Roman" w:cs="Times New Roman"/>
          <w:bCs/>
          <w:color w:val="000000"/>
          <w:kern w:val="0"/>
          <w:sz w:val="24"/>
          <w:szCs w:val="24"/>
          <w:lang w:eastAsia="en-US"/>
        </w:rPr>
      </w:pPr>
      <w:r w:rsidRPr="009E72F4">
        <w:rPr>
          <w:rFonts w:ascii="Times New Roman" w:eastAsia="DengXian" w:hAnsi="Times New Roman" w:cs="Times New Roman"/>
          <w:color w:val="000000"/>
          <w:kern w:val="0"/>
          <w:sz w:val="24"/>
          <w:szCs w:val="24"/>
        </w:rPr>
        <w:t>After the grant of the IRC, the investor proceeds to o</w:t>
      </w:r>
      <w:r w:rsidRPr="009E72F4">
        <w:rPr>
          <w:rFonts w:ascii="Times New Roman" w:eastAsia="DengXian" w:hAnsi="Times New Roman" w:cs="Times New Roman"/>
          <w:color w:val="000000"/>
          <w:kern w:val="0"/>
          <w:sz w:val="24"/>
          <w:szCs w:val="24"/>
          <w:lang w:eastAsia="en-US"/>
        </w:rPr>
        <w:t>btain the enterprise registration certificate for establishment of the foreign-invested enterprise in Vietnam</w:t>
      </w:r>
      <w:r w:rsidRPr="009E72F4">
        <w:rPr>
          <w:rFonts w:ascii="Times New Roman" w:eastAsia="DengXian" w:hAnsi="Times New Roman" w:cs="Times New Roman"/>
          <w:color w:val="000000"/>
          <w:kern w:val="0"/>
          <w:sz w:val="24"/>
          <w:szCs w:val="24"/>
          <w:lang w:val="vi-VN" w:eastAsia="en-US"/>
        </w:rPr>
        <w:t>.</w:t>
      </w:r>
      <w:r w:rsidRPr="009E72F4" w:rsidDel="00467520">
        <w:rPr>
          <w:rFonts w:ascii="Times New Roman" w:eastAsia="DengXian" w:hAnsi="Times New Roman" w:cs="Times New Roman"/>
          <w:color w:val="000000"/>
          <w:kern w:val="0"/>
          <w:sz w:val="24"/>
          <w:szCs w:val="24"/>
          <w:lang w:eastAsia="en-US"/>
        </w:rPr>
        <w:t xml:space="preserve"> </w:t>
      </w:r>
    </w:p>
    <w:p w14:paraId="1268846F" w14:textId="77777777" w:rsidR="009E72F4" w:rsidRPr="009E72F4" w:rsidRDefault="009E72F4" w:rsidP="00584325">
      <w:pPr>
        <w:adjustRightInd w:val="0"/>
        <w:snapToGrid w:val="0"/>
        <w:spacing w:before="120" w:after="120" w:line="276" w:lineRule="auto"/>
        <w:ind w:right="72"/>
        <w:rPr>
          <w:rFonts w:ascii="Times New Roman" w:eastAsia="DengXian" w:hAnsi="Times New Roman" w:cs="Times New Roman"/>
          <w:bCs/>
          <w:color w:val="000000"/>
          <w:kern w:val="0"/>
          <w:sz w:val="24"/>
          <w:szCs w:val="24"/>
        </w:rPr>
      </w:pPr>
    </w:p>
    <w:p w14:paraId="4EAD57F6" w14:textId="77777777" w:rsidR="009E72F4" w:rsidRPr="009E72F4" w:rsidRDefault="009E72F4" w:rsidP="00584325">
      <w:pPr>
        <w:widowControl/>
        <w:numPr>
          <w:ilvl w:val="0"/>
          <w:numId w:val="20"/>
        </w:numPr>
        <w:adjustRightInd w:val="0"/>
        <w:snapToGrid w:val="0"/>
        <w:spacing w:before="120" w:after="120" w:line="276" w:lineRule="auto"/>
        <w:ind w:right="72"/>
        <w:contextualSpacing/>
        <w:jc w:val="left"/>
        <w:rPr>
          <w:rFonts w:ascii="Times New Roman" w:eastAsia="DengXian" w:hAnsi="Times New Roman" w:cs="Times New Roman"/>
          <w:b/>
          <w:bCs/>
          <w:color w:val="000000"/>
          <w:kern w:val="0"/>
          <w:sz w:val="24"/>
          <w:szCs w:val="24"/>
          <w:lang w:val="vi-VN" w:eastAsia="en-US"/>
        </w:rPr>
      </w:pPr>
      <w:r w:rsidRPr="009E72F4">
        <w:rPr>
          <w:rFonts w:ascii="Times New Roman" w:eastAsia="DengXian" w:hAnsi="Times New Roman" w:cs="Times New Roman"/>
          <w:b/>
          <w:bCs/>
          <w:color w:val="000000"/>
          <w:kern w:val="0"/>
          <w:sz w:val="24"/>
          <w:szCs w:val="24"/>
          <w:lang w:eastAsia="en-US"/>
        </w:rPr>
        <w:t>Are there any industry sector controls on foreign investment?</w:t>
      </w:r>
      <w:r w:rsidRPr="009E72F4">
        <w:rPr>
          <w:rFonts w:ascii="Times New Roman" w:eastAsia="DengXian" w:hAnsi="Times New Roman" w:cs="Times New Roman"/>
          <w:b/>
          <w:bCs/>
          <w:color w:val="000000"/>
          <w:kern w:val="0"/>
          <w:sz w:val="24"/>
          <w:szCs w:val="24"/>
          <w:lang w:val="vi-VN" w:eastAsia="en-US"/>
        </w:rPr>
        <w:t xml:space="preserve"> </w:t>
      </w:r>
    </w:p>
    <w:p w14:paraId="064F052C" w14:textId="77777777" w:rsidR="009E72F4" w:rsidRPr="009E72F4" w:rsidRDefault="009E72F4" w:rsidP="00584325">
      <w:pPr>
        <w:adjustRightInd w:val="0"/>
        <w:snapToGrid w:val="0"/>
        <w:spacing w:before="120" w:after="120" w:line="276" w:lineRule="auto"/>
        <w:ind w:left="720" w:right="72"/>
        <w:rPr>
          <w:rFonts w:ascii="Times New Roman" w:eastAsia="DengXian" w:hAnsi="Times New Roman" w:cs="Times New Roman"/>
          <w:color w:val="000000"/>
          <w:kern w:val="0"/>
          <w:sz w:val="24"/>
          <w:szCs w:val="24"/>
          <w:lang w:val="vi-VN"/>
        </w:rPr>
      </w:pPr>
    </w:p>
    <w:p w14:paraId="20860B14" w14:textId="77777777" w:rsidR="009E72F4" w:rsidRPr="009E72F4" w:rsidRDefault="009E72F4" w:rsidP="00584325">
      <w:pPr>
        <w:adjustRightInd w:val="0"/>
        <w:snapToGrid w:val="0"/>
        <w:spacing w:before="120" w:after="120" w:line="276" w:lineRule="auto"/>
        <w:ind w:left="720" w:right="72"/>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In the most recent regulation released for implementing the LOI, the “negative list” was introduced, i.e., where the foreign investment is made in an industry, trade that fall under the list for which market approach is restricted for foreign investor (</w:t>
      </w:r>
      <w:r w:rsidRPr="005A6E2E">
        <w:rPr>
          <w:rFonts w:ascii="Times New Roman" w:eastAsia="DengXian" w:hAnsi="Times New Roman" w:cs="Times New Roman"/>
          <w:b/>
          <w:bCs/>
          <w:color w:val="000000"/>
          <w:kern w:val="0"/>
          <w:sz w:val="24"/>
          <w:szCs w:val="24"/>
          <w:lang w:eastAsia="en-US"/>
        </w:rPr>
        <w:t>“Negative Lists”</w:t>
      </w:r>
      <w:r w:rsidRPr="009E72F4">
        <w:rPr>
          <w:rFonts w:ascii="Times New Roman" w:eastAsia="DengXian" w:hAnsi="Times New Roman" w:cs="Times New Roman"/>
          <w:color w:val="000000"/>
          <w:kern w:val="0"/>
          <w:sz w:val="24"/>
          <w:szCs w:val="24"/>
          <w:lang w:eastAsia="en-US"/>
        </w:rPr>
        <w:t xml:space="preserve">), the foreign investor must satisfy those market approach conditions. </w:t>
      </w:r>
    </w:p>
    <w:p w14:paraId="391C75D4" w14:textId="77777777" w:rsidR="009E72F4" w:rsidRDefault="009E72F4" w:rsidP="00584325">
      <w:pPr>
        <w:adjustRightInd w:val="0"/>
        <w:snapToGrid w:val="0"/>
        <w:spacing w:before="120" w:after="120" w:line="276" w:lineRule="auto"/>
        <w:ind w:left="720" w:right="72"/>
        <w:rPr>
          <w:rFonts w:ascii="Times New Roman" w:eastAsia="宋体" w:hAnsi="Times New Roman" w:cs="Times New Roman"/>
          <w:color w:val="000000"/>
          <w:kern w:val="0"/>
          <w:sz w:val="24"/>
          <w:szCs w:val="24"/>
          <w:lang w:val="en-GB"/>
        </w:rPr>
      </w:pPr>
    </w:p>
    <w:p w14:paraId="7C5E0CE3" w14:textId="67A4D216" w:rsidR="009E72F4" w:rsidRPr="009E72F4" w:rsidRDefault="009E72F4" w:rsidP="00584325">
      <w:pPr>
        <w:adjustRightInd w:val="0"/>
        <w:snapToGrid w:val="0"/>
        <w:spacing w:before="120" w:after="120" w:line="276" w:lineRule="auto"/>
        <w:ind w:left="720" w:right="72"/>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 xml:space="preserve">Foreign investment in sectors that do not fall under the Negative List will be subject to the same market access conditions that apply to the domestic investors. </w:t>
      </w:r>
    </w:p>
    <w:p w14:paraId="3AA4B35E" w14:textId="77777777" w:rsidR="009E72F4" w:rsidRDefault="009E72F4" w:rsidP="00584325">
      <w:pPr>
        <w:adjustRightInd w:val="0"/>
        <w:snapToGrid w:val="0"/>
        <w:spacing w:before="120" w:after="120" w:line="276" w:lineRule="auto"/>
        <w:ind w:left="720" w:right="72"/>
        <w:rPr>
          <w:rFonts w:ascii="Times New Roman" w:eastAsia="宋体" w:hAnsi="Times New Roman" w:cs="Times New Roman"/>
          <w:color w:val="000000"/>
          <w:kern w:val="0"/>
          <w:sz w:val="24"/>
          <w:szCs w:val="24"/>
          <w:lang w:val="en-GB"/>
        </w:rPr>
      </w:pPr>
    </w:p>
    <w:p w14:paraId="7B41D76C" w14:textId="13E105B5" w:rsidR="009E72F4" w:rsidRPr="009E72F4" w:rsidRDefault="009E72F4" w:rsidP="00584325">
      <w:pPr>
        <w:adjustRightInd w:val="0"/>
        <w:snapToGrid w:val="0"/>
        <w:spacing w:before="120" w:after="120" w:line="276" w:lineRule="auto"/>
        <w:ind w:left="720" w:right="72"/>
        <w:rPr>
          <w:rFonts w:ascii="Times New Roman" w:eastAsia="DengXian" w:hAnsi="Times New Roman" w:cs="Times New Roman"/>
          <w:color w:val="000000"/>
          <w:kern w:val="0"/>
          <w:sz w:val="24"/>
          <w:szCs w:val="24"/>
          <w:lang w:val="en-GB" w:eastAsia="en-US"/>
        </w:rPr>
      </w:pPr>
      <w:r w:rsidRPr="009E72F4">
        <w:rPr>
          <w:rFonts w:ascii="Times New Roman" w:eastAsia="DengXian" w:hAnsi="Times New Roman" w:cs="Times New Roman"/>
          <w:color w:val="000000"/>
          <w:kern w:val="0"/>
          <w:sz w:val="24"/>
          <w:szCs w:val="24"/>
          <w:lang w:eastAsia="en-US"/>
        </w:rPr>
        <w:t>F</w:t>
      </w:r>
      <w:proofErr w:type="spellStart"/>
      <w:r w:rsidRPr="009E72F4">
        <w:rPr>
          <w:rFonts w:ascii="Times New Roman" w:eastAsia="DengXian" w:hAnsi="Times New Roman" w:cs="Times New Roman"/>
          <w:color w:val="000000"/>
          <w:kern w:val="0"/>
          <w:sz w:val="24"/>
          <w:szCs w:val="24"/>
          <w:lang w:val="en-GB" w:eastAsia="en-US"/>
        </w:rPr>
        <w:t>oreign</w:t>
      </w:r>
      <w:proofErr w:type="spellEnd"/>
      <w:r w:rsidRPr="009E72F4">
        <w:rPr>
          <w:rFonts w:ascii="Times New Roman" w:eastAsia="DengXian" w:hAnsi="Times New Roman" w:cs="Times New Roman"/>
          <w:color w:val="000000"/>
          <w:kern w:val="0"/>
          <w:sz w:val="24"/>
          <w:szCs w:val="24"/>
          <w:lang w:val="en-GB" w:eastAsia="en-US"/>
        </w:rPr>
        <w:t xml:space="preserve"> investor typically must satisfy the conditions if it invests in the industries and trades that fall under the Negative Lists. </w:t>
      </w:r>
    </w:p>
    <w:p w14:paraId="20ED9C1D" w14:textId="77777777" w:rsidR="009E72F4" w:rsidRDefault="009E72F4" w:rsidP="00584325">
      <w:pPr>
        <w:adjustRightInd w:val="0"/>
        <w:snapToGrid w:val="0"/>
        <w:spacing w:before="120" w:after="120" w:line="276" w:lineRule="auto"/>
        <w:ind w:left="720" w:right="72"/>
        <w:rPr>
          <w:rFonts w:ascii="Times New Roman" w:eastAsia="宋体" w:hAnsi="Times New Roman" w:cs="Times New Roman"/>
          <w:color w:val="000000"/>
          <w:kern w:val="0"/>
          <w:sz w:val="24"/>
          <w:szCs w:val="24"/>
        </w:rPr>
      </w:pPr>
    </w:p>
    <w:p w14:paraId="168B8C16" w14:textId="568AD1B6" w:rsidR="009E72F4" w:rsidRDefault="009E72F4" w:rsidP="00584325">
      <w:pPr>
        <w:adjustRightInd w:val="0"/>
        <w:snapToGrid w:val="0"/>
        <w:spacing w:before="120" w:after="120" w:line="276" w:lineRule="auto"/>
        <w:ind w:left="720" w:right="72"/>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The Negative Lists shall include:</w:t>
      </w:r>
    </w:p>
    <w:p w14:paraId="269C1068" w14:textId="77777777" w:rsidR="009E72F4" w:rsidRPr="009E72F4" w:rsidRDefault="009E72F4" w:rsidP="00584325">
      <w:pPr>
        <w:adjustRightInd w:val="0"/>
        <w:snapToGrid w:val="0"/>
        <w:spacing w:before="120" w:after="120" w:line="276" w:lineRule="auto"/>
        <w:ind w:left="720" w:right="72"/>
        <w:rPr>
          <w:rFonts w:ascii="Times New Roman" w:eastAsia="DengXian" w:hAnsi="Times New Roman" w:cs="Times New Roman"/>
          <w:color w:val="000000"/>
          <w:kern w:val="0"/>
          <w:sz w:val="24"/>
          <w:szCs w:val="24"/>
          <w:lang w:eastAsia="en-US"/>
        </w:rPr>
      </w:pPr>
    </w:p>
    <w:p w14:paraId="01C8CD53" w14:textId="77777777" w:rsidR="009E72F4" w:rsidRPr="009E72F4" w:rsidRDefault="009E72F4" w:rsidP="00584325">
      <w:pPr>
        <w:widowControl/>
        <w:numPr>
          <w:ilvl w:val="0"/>
          <w:numId w:val="27"/>
        </w:numPr>
        <w:adjustRightInd w:val="0"/>
        <w:snapToGrid w:val="0"/>
        <w:spacing w:before="120" w:after="120" w:line="276" w:lineRule="auto"/>
        <w:ind w:left="1440" w:right="72" w:hanging="720"/>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List of industries and trades for which there has not been market approach:</w:t>
      </w:r>
    </w:p>
    <w:p w14:paraId="205DA136" w14:textId="77777777" w:rsidR="009E72F4" w:rsidRDefault="009E72F4" w:rsidP="00584325">
      <w:pPr>
        <w:adjustRightInd w:val="0"/>
        <w:snapToGrid w:val="0"/>
        <w:spacing w:before="120" w:after="120" w:line="276" w:lineRule="auto"/>
        <w:ind w:left="1440" w:right="72"/>
        <w:rPr>
          <w:rFonts w:ascii="Times New Roman" w:eastAsia="宋体" w:hAnsi="Times New Roman" w:cs="Times New Roman"/>
          <w:color w:val="000000"/>
          <w:kern w:val="0"/>
          <w:sz w:val="24"/>
          <w:szCs w:val="24"/>
        </w:rPr>
      </w:pPr>
    </w:p>
    <w:p w14:paraId="4772158C" w14:textId="42FE4DB6" w:rsidR="009E72F4" w:rsidRDefault="009E72F4" w:rsidP="00584325">
      <w:pPr>
        <w:adjustRightInd w:val="0"/>
        <w:snapToGrid w:val="0"/>
        <w:spacing w:before="120" w:after="120" w:line="276" w:lineRule="auto"/>
        <w:ind w:left="1440" w:right="72"/>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 xml:space="preserve">The foreign investors are not allowed to invest in sectors that fall within this list. </w:t>
      </w:r>
    </w:p>
    <w:p w14:paraId="30F828B1" w14:textId="77777777" w:rsidR="009E72F4" w:rsidRPr="009E72F4" w:rsidRDefault="009E72F4" w:rsidP="00584325">
      <w:pPr>
        <w:adjustRightInd w:val="0"/>
        <w:snapToGrid w:val="0"/>
        <w:spacing w:before="120" w:after="120" w:line="276" w:lineRule="auto"/>
        <w:ind w:left="1440" w:right="72"/>
        <w:rPr>
          <w:rFonts w:ascii="Times New Roman" w:eastAsia="DengXian" w:hAnsi="Times New Roman" w:cs="Times New Roman"/>
          <w:color w:val="000000"/>
          <w:kern w:val="0"/>
          <w:sz w:val="24"/>
          <w:szCs w:val="24"/>
          <w:lang w:eastAsia="en-US"/>
        </w:rPr>
      </w:pPr>
    </w:p>
    <w:p w14:paraId="7845E5EC" w14:textId="77777777" w:rsidR="009E72F4" w:rsidRPr="009E72F4" w:rsidRDefault="009E72F4" w:rsidP="00584325">
      <w:pPr>
        <w:widowControl/>
        <w:numPr>
          <w:ilvl w:val="0"/>
          <w:numId w:val="27"/>
        </w:numPr>
        <w:adjustRightInd w:val="0"/>
        <w:snapToGrid w:val="0"/>
        <w:spacing w:before="120" w:after="120" w:line="276" w:lineRule="auto"/>
        <w:ind w:left="1440" w:right="72" w:hanging="720"/>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lastRenderedPageBreak/>
        <w:t>List of industries and trades for which market approach is conditional</w:t>
      </w:r>
    </w:p>
    <w:p w14:paraId="509AE347" w14:textId="77777777" w:rsidR="009E72F4" w:rsidRDefault="009E72F4" w:rsidP="00584325">
      <w:pPr>
        <w:adjustRightInd w:val="0"/>
        <w:snapToGrid w:val="0"/>
        <w:spacing w:before="120" w:after="120" w:line="276" w:lineRule="auto"/>
        <w:ind w:left="1440" w:right="72"/>
        <w:rPr>
          <w:rFonts w:ascii="Times New Roman" w:eastAsia="宋体" w:hAnsi="Times New Roman" w:cs="Times New Roman"/>
          <w:color w:val="000000"/>
          <w:kern w:val="0"/>
          <w:sz w:val="24"/>
          <w:szCs w:val="24"/>
        </w:rPr>
      </w:pPr>
    </w:p>
    <w:p w14:paraId="0C51ACA5" w14:textId="3B3DE585" w:rsidR="009E72F4" w:rsidRPr="009E72F4" w:rsidRDefault="009E72F4" w:rsidP="00584325">
      <w:pPr>
        <w:adjustRightInd w:val="0"/>
        <w:snapToGrid w:val="0"/>
        <w:spacing w:before="120" w:after="120" w:line="276" w:lineRule="auto"/>
        <w:ind w:left="1440" w:right="72"/>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 xml:space="preserve">The foreign investors are allowed to invest in sectors falling under this list provided that the relevant market access conditions are satisfied. </w:t>
      </w:r>
    </w:p>
    <w:p w14:paraId="6DFBED34" w14:textId="77777777" w:rsidR="009E72F4" w:rsidRDefault="009E72F4" w:rsidP="00584325">
      <w:pPr>
        <w:adjustRightInd w:val="0"/>
        <w:snapToGrid w:val="0"/>
        <w:spacing w:before="120" w:after="120" w:line="276" w:lineRule="auto"/>
        <w:ind w:left="720" w:right="72"/>
        <w:rPr>
          <w:rFonts w:ascii="Times New Roman" w:eastAsia="宋体" w:hAnsi="Times New Roman" w:cs="Times New Roman"/>
          <w:color w:val="000000"/>
          <w:kern w:val="0"/>
          <w:sz w:val="24"/>
          <w:szCs w:val="24"/>
          <w:lang w:val="en-GB"/>
        </w:rPr>
      </w:pPr>
    </w:p>
    <w:p w14:paraId="5532BAAF" w14:textId="610DEAF7" w:rsidR="009E72F4" w:rsidRPr="009E72F4" w:rsidRDefault="009E72F4" w:rsidP="00584325">
      <w:pPr>
        <w:adjustRightInd w:val="0"/>
        <w:snapToGrid w:val="0"/>
        <w:spacing w:before="120" w:after="120" w:line="276" w:lineRule="auto"/>
        <w:ind w:left="720" w:right="72"/>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The Negative Lists are published on the National Portal for Investment (</w:t>
      </w:r>
      <w:hyperlink r:id="rId9" w:history="1">
        <w:r w:rsidRPr="009E72F4">
          <w:rPr>
            <w:rFonts w:ascii="Times New Roman" w:eastAsia="DengXian" w:hAnsi="Times New Roman" w:cs="Times New Roman"/>
            <w:color w:val="0563C1"/>
            <w:kern w:val="0"/>
            <w:sz w:val="24"/>
            <w:szCs w:val="24"/>
            <w:u w:val="single"/>
            <w:lang w:eastAsia="en-US"/>
          </w:rPr>
          <w:t>https://vietnaminvest.gov.vn/SitePages/List_View.aspx?ChuyenMuc=3</w:t>
        </w:r>
      </w:hyperlink>
      <w:r w:rsidRPr="009E72F4">
        <w:rPr>
          <w:rFonts w:ascii="Times New Roman" w:eastAsia="DengXian" w:hAnsi="Times New Roman" w:cs="Times New Roman"/>
          <w:color w:val="000000"/>
          <w:kern w:val="0"/>
          <w:sz w:val="24"/>
          <w:szCs w:val="24"/>
          <w:lang w:eastAsia="en-US"/>
        </w:rPr>
        <w:t xml:space="preserve">). </w:t>
      </w:r>
    </w:p>
    <w:p w14:paraId="32A3289C" w14:textId="77777777" w:rsidR="009E72F4" w:rsidRDefault="009E72F4" w:rsidP="00584325">
      <w:pPr>
        <w:adjustRightInd w:val="0"/>
        <w:snapToGrid w:val="0"/>
        <w:spacing w:before="120" w:after="120" w:line="276" w:lineRule="auto"/>
        <w:ind w:left="720" w:right="72"/>
        <w:rPr>
          <w:rFonts w:ascii="Times New Roman" w:eastAsia="宋体" w:hAnsi="Times New Roman" w:cs="Times New Roman"/>
          <w:color w:val="000000"/>
          <w:kern w:val="0"/>
          <w:sz w:val="24"/>
          <w:szCs w:val="24"/>
          <w:lang w:val="en-GB" w:eastAsia="en-US"/>
        </w:rPr>
      </w:pPr>
    </w:p>
    <w:p w14:paraId="656BAC7A" w14:textId="74C7DE2C" w:rsidR="009E72F4" w:rsidRPr="009E72F4" w:rsidRDefault="009E72F4" w:rsidP="00584325">
      <w:pPr>
        <w:adjustRightInd w:val="0"/>
        <w:snapToGrid w:val="0"/>
        <w:spacing w:before="120" w:after="120" w:line="276" w:lineRule="auto"/>
        <w:ind w:left="720" w:right="72"/>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In addition to the market approach conditions, the foreign investor must satisfy necessary conditions during the entire business investment process if it conducts business in the conditional industries and trades set out in Appendix 4 of the LOI.</w:t>
      </w:r>
    </w:p>
    <w:p w14:paraId="0AA91D67" w14:textId="77777777" w:rsidR="009E72F4" w:rsidRPr="009E72F4" w:rsidRDefault="009E72F4" w:rsidP="00584325">
      <w:pPr>
        <w:widowControl/>
        <w:spacing w:before="120" w:after="120" w:line="276" w:lineRule="auto"/>
        <w:jc w:val="left"/>
        <w:rPr>
          <w:rFonts w:ascii="Times New Roman" w:eastAsia="DengXian" w:hAnsi="Times New Roman" w:cs="Times New Roman"/>
          <w:kern w:val="0"/>
          <w:sz w:val="24"/>
          <w:szCs w:val="24"/>
          <w:lang w:val="en-GB"/>
        </w:rPr>
      </w:pPr>
    </w:p>
    <w:p w14:paraId="14D9AFCB" w14:textId="77777777" w:rsidR="009E72F4" w:rsidRPr="009E72F4" w:rsidRDefault="009E72F4" w:rsidP="00584325">
      <w:pPr>
        <w:widowControl/>
        <w:numPr>
          <w:ilvl w:val="0"/>
          <w:numId w:val="20"/>
        </w:numPr>
        <w:adjustRightInd w:val="0"/>
        <w:snapToGrid w:val="0"/>
        <w:spacing w:before="120" w:after="120" w:line="276" w:lineRule="auto"/>
        <w:ind w:right="72"/>
        <w:contextualSpacing/>
        <w:jc w:val="left"/>
        <w:rPr>
          <w:rFonts w:ascii="Times New Roman" w:eastAsia="DengXian" w:hAnsi="Times New Roman" w:cs="Times New Roman"/>
          <w:b/>
          <w:bCs/>
          <w:color w:val="000000"/>
          <w:kern w:val="0"/>
          <w:sz w:val="24"/>
          <w:szCs w:val="24"/>
          <w:lang w:eastAsia="en-US"/>
        </w:rPr>
      </w:pPr>
      <w:r w:rsidRPr="009E72F4">
        <w:rPr>
          <w:rFonts w:ascii="Times New Roman" w:eastAsia="DengXian" w:hAnsi="Times New Roman" w:cs="Times New Roman"/>
          <w:b/>
          <w:bCs/>
          <w:color w:val="000000"/>
          <w:kern w:val="0"/>
          <w:sz w:val="24"/>
          <w:szCs w:val="24"/>
          <w:lang w:eastAsia="en-US"/>
        </w:rPr>
        <w:t>Are there any government free carry interest requirements on special industry sector?</w:t>
      </w:r>
    </w:p>
    <w:p w14:paraId="07CD16FE" w14:textId="77777777" w:rsidR="009E72F4" w:rsidRPr="009E72F4" w:rsidRDefault="009E72F4" w:rsidP="00584325">
      <w:pPr>
        <w:adjustRightInd w:val="0"/>
        <w:snapToGrid w:val="0"/>
        <w:spacing w:before="120" w:after="120" w:line="276" w:lineRule="auto"/>
        <w:ind w:left="720" w:right="72"/>
        <w:contextualSpacing/>
        <w:rPr>
          <w:rFonts w:ascii="Times New Roman" w:eastAsia="DengXian" w:hAnsi="Times New Roman" w:cs="Times New Roman"/>
          <w:color w:val="000000"/>
          <w:kern w:val="0"/>
          <w:sz w:val="24"/>
          <w:szCs w:val="24"/>
        </w:rPr>
      </w:pPr>
    </w:p>
    <w:p w14:paraId="61F7C9B1" w14:textId="0265DC45" w:rsidR="009E72F4" w:rsidRPr="009E72F4" w:rsidRDefault="009E72F4" w:rsidP="00584325">
      <w:pPr>
        <w:adjustRightInd w:val="0"/>
        <w:snapToGrid w:val="0"/>
        <w:spacing w:before="120" w:after="120" w:line="276" w:lineRule="auto"/>
        <w:ind w:left="720" w:right="72"/>
        <w:contextualSpacing/>
        <w:rPr>
          <w:rFonts w:ascii="Times New Roman" w:eastAsia="DengXian" w:hAnsi="Times New Roman" w:cs="Times New Roman"/>
          <w:color w:val="000000"/>
          <w:kern w:val="0"/>
          <w:sz w:val="24"/>
          <w:szCs w:val="24"/>
          <w:lang w:val="vi-VN" w:eastAsia="en-US"/>
        </w:rPr>
      </w:pPr>
      <w:r w:rsidRPr="009E72F4">
        <w:rPr>
          <w:rFonts w:ascii="Times New Roman" w:eastAsia="DengXian" w:hAnsi="Times New Roman" w:cs="Times New Roman"/>
          <w:color w:val="000000"/>
          <w:kern w:val="0"/>
          <w:sz w:val="24"/>
          <w:szCs w:val="24"/>
          <w:lang w:eastAsia="en-US"/>
        </w:rPr>
        <w:t>There</w:t>
      </w:r>
      <w:r w:rsidRPr="009E72F4">
        <w:rPr>
          <w:rFonts w:ascii="Times New Roman" w:eastAsia="DengXian" w:hAnsi="Times New Roman" w:cs="Times New Roman"/>
          <w:color w:val="000000"/>
          <w:kern w:val="0"/>
          <w:sz w:val="24"/>
          <w:szCs w:val="24"/>
          <w:lang w:val="vi-VN" w:eastAsia="en-US"/>
        </w:rPr>
        <w:t xml:space="preserve"> are no </w:t>
      </w:r>
      <w:r w:rsidRPr="009E72F4">
        <w:rPr>
          <w:rFonts w:ascii="Times New Roman" w:eastAsia="DengXian" w:hAnsi="Times New Roman" w:cs="Times New Roman"/>
          <w:color w:val="000000"/>
          <w:kern w:val="0"/>
          <w:sz w:val="24"/>
          <w:szCs w:val="24"/>
          <w:lang w:eastAsia="en-US"/>
        </w:rPr>
        <w:t xml:space="preserve">free carry interest requirements </w:t>
      </w:r>
      <w:r w:rsidRPr="009E72F4">
        <w:rPr>
          <w:rFonts w:ascii="Times New Roman" w:eastAsia="DengXian" w:hAnsi="Times New Roman" w:cs="Times New Roman" w:hint="eastAsia"/>
          <w:color w:val="000000"/>
          <w:kern w:val="0"/>
          <w:sz w:val="24"/>
          <w:szCs w:val="24"/>
        </w:rPr>
        <w:t>under</w:t>
      </w:r>
      <w:r w:rsidRPr="009E72F4">
        <w:rPr>
          <w:rFonts w:ascii="Times New Roman" w:eastAsia="DengXian" w:hAnsi="Times New Roman" w:cs="Times New Roman"/>
          <w:color w:val="000000"/>
          <w:kern w:val="0"/>
          <w:sz w:val="24"/>
          <w:szCs w:val="24"/>
        </w:rPr>
        <w:t xml:space="preserve"> the</w:t>
      </w:r>
      <w:r>
        <w:rPr>
          <w:rFonts w:ascii="Times New Roman" w:eastAsia="DengXian" w:hAnsi="Times New Roman" w:cs="Times New Roman"/>
          <w:color w:val="000000"/>
          <w:kern w:val="0"/>
          <w:sz w:val="24"/>
          <w:szCs w:val="24"/>
        </w:rPr>
        <w:t xml:space="preserve"> </w:t>
      </w:r>
      <w:r w:rsidRPr="009E72F4">
        <w:rPr>
          <w:rFonts w:ascii="Times New Roman" w:eastAsia="DengXian" w:hAnsi="Times New Roman" w:cs="Times New Roman"/>
          <w:color w:val="000000"/>
          <w:kern w:val="0"/>
          <w:sz w:val="24"/>
          <w:szCs w:val="24"/>
        </w:rPr>
        <w:t xml:space="preserve">existing laws </w:t>
      </w:r>
      <w:r w:rsidRPr="009E72F4">
        <w:rPr>
          <w:rFonts w:ascii="Times New Roman" w:eastAsia="DengXian" w:hAnsi="Times New Roman" w:cs="Times New Roman"/>
          <w:color w:val="000000"/>
          <w:kern w:val="0"/>
          <w:sz w:val="24"/>
          <w:szCs w:val="24"/>
          <w:lang w:eastAsia="en-US"/>
        </w:rPr>
        <w:t>on special industry sector</w:t>
      </w:r>
      <w:r w:rsidRPr="009E72F4">
        <w:rPr>
          <w:rFonts w:ascii="Times New Roman" w:eastAsia="DengXian" w:hAnsi="Times New Roman" w:cs="Times New Roman"/>
          <w:color w:val="000000"/>
          <w:kern w:val="0"/>
          <w:sz w:val="24"/>
          <w:szCs w:val="24"/>
          <w:lang w:val="vi-VN" w:eastAsia="en-US"/>
        </w:rPr>
        <w:t>.</w:t>
      </w:r>
    </w:p>
    <w:p w14:paraId="22CE4509" w14:textId="77777777" w:rsidR="009E72F4" w:rsidRPr="009E72F4" w:rsidRDefault="009E72F4" w:rsidP="00584325">
      <w:pPr>
        <w:adjustRightInd w:val="0"/>
        <w:snapToGrid w:val="0"/>
        <w:spacing w:before="120" w:after="120" w:line="276" w:lineRule="auto"/>
        <w:ind w:left="720" w:right="72"/>
        <w:contextualSpacing/>
        <w:rPr>
          <w:rFonts w:ascii="Times New Roman" w:eastAsia="DengXian" w:hAnsi="Times New Roman" w:cs="Times New Roman"/>
          <w:b/>
          <w:bCs/>
          <w:color w:val="000000"/>
          <w:kern w:val="0"/>
          <w:sz w:val="24"/>
          <w:szCs w:val="24"/>
          <w:lang w:val="en-GB"/>
        </w:rPr>
      </w:pPr>
    </w:p>
    <w:p w14:paraId="5E3B39EB" w14:textId="77777777" w:rsidR="009E72F4" w:rsidRPr="009E72F4" w:rsidRDefault="009E72F4" w:rsidP="00584325">
      <w:pPr>
        <w:widowControl/>
        <w:numPr>
          <w:ilvl w:val="0"/>
          <w:numId w:val="20"/>
        </w:numPr>
        <w:adjustRightInd w:val="0"/>
        <w:snapToGrid w:val="0"/>
        <w:spacing w:before="120" w:after="120" w:line="276" w:lineRule="auto"/>
        <w:ind w:right="72"/>
        <w:contextualSpacing/>
        <w:jc w:val="left"/>
        <w:rPr>
          <w:rFonts w:ascii="Times New Roman" w:eastAsia="DengXian" w:hAnsi="Times New Roman" w:cs="Times New Roman"/>
          <w:b/>
          <w:bCs/>
          <w:color w:val="000000"/>
          <w:kern w:val="0"/>
          <w:sz w:val="24"/>
          <w:szCs w:val="24"/>
          <w:lang w:eastAsia="en-US"/>
        </w:rPr>
      </w:pPr>
      <w:r w:rsidRPr="009E72F4">
        <w:rPr>
          <w:rFonts w:ascii="Times New Roman" w:eastAsia="DengXian" w:hAnsi="Times New Roman" w:cs="Times New Roman"/>
          <w:b/>
          <w:bCs/>
          <w:color w:val="000000"/>
          <w:kern w:val="0"/>
          <w:sz w:val="24"/>
          <w:szCs w:val="24"/>
          <w:lang w:eastAsia="en-US"/>
        </w:rPr>
        <w:t>Are there any localization requirements (e.g. minimum ratio of local employees, minimum ratio of local procurement) for FDI in your jurisdiction?</w:t>
      </w:r>
    </w:p>
    <w:p w14:paraId="5B2171BA" w14:textId="77777777" w:rsidR="009E72F4" w:rsidRPr="009E72F4" w:rsidRDefault="009E72F4" w:rsidP="00584325">
      <w:pPr>
        <w:adjustRightInd w:val="0"/>
        <w:snapToGrid w:val="0"/>
        <w:spacing w:before="120" w:after="120" w:line="276" w:lineRule="auto"/>
        <w:ind w:left="720" w:right="72"/>
        <w:contextualSpacing/>
        <w:rPr>
          <w:rFonts w:ascii="Times New Roman" w:eastAsia="DengXian" w:hAnsi="Times New Roman" w:cs="Times New Roman"/>
          <w:b/>
          <w:bCs/>
          <w:color w:val="000000"/>
          <w:kern w:val="0"/>
          <w:sz w:val="24"/>
          <w:szCs w:val="24"/>
        </w:rPr>
      </w:pPr>
    </w:p>
    <w:p w14:paraId="2D14D492" w14:textId="1F10ABC9" w:rsidR="009E72F4" w:rsidRDefault="009E72F4" w:rsidP="00584325">
      <w:pPr>
        <w:widowControl/>
        <w:spacing w:before="120" w:after="120" w:line="276" w:lineRule="auto"/>
        <w:ind w:left="720"/>
        <w:rPr>
          <w:rFonts w:ascii="Times New Roman" w:eastAsia="DengXian" w:hAnsi="Times New Roman" w:cs="Times New Roman"/>
          <w:color w:val="000000"/>
          <w:kern w:val="0"/>
          <w:sz w:val="24"/>
          <w:szCs w:val="24"/>
          <w:shd w:val="clear" w:color="auto" w:fill="FFFFFF"/>
          <w:lang w:val="en-GB"/>
        </w:rPr>
      </w:pPr>
      <w:r w:rsidRPr="009E72F4">
        <w:rPr>
          <w:rFonts w:ascii="Times New Roman" w:eastAsia="DengXian" w:hAnsi="Times New Roman" w:cs="Times New Roman"/>
          <w:color w:val="000000"/>
          <w:kern w:val="0"/>
          <w:sz w:val="24"/>
          <w:szCs w:val="24"/>
          <w:shd w:val="clear" w:color="auto" w:fill="FFFFFF"/>
          <w:lang w:val="en-GB" w:eastAsia="en-US"/>
        </w:rPr>
        <w:t>In general, there is no localization requirement applicable to FDI. As with the market access conditions or restrictions, investments in some sectors will need to fulfil certain conditions on things such as professional qualifications, capitals, etc.</w:t>
      </w:r>
      <w:r>
        <w:rPr>
          <w:rFonts w:ascii="Times New Roman" w:eastAsia="DengXian" w:hAnsi="Times New Roman" w:cs="Times New Roman"/>
          <w:color w:val="000000"/>
          <w:kern w:val="0"/>
          <w:sz w:val="24"/>
          <w:szCs w:val="24"/>
          <w:shd w:val="clear" w:color="auto" w:fill="FFFFFF"/>
          <w:lang w:val="en-GB" w:eastAsia="en-US"/>
        </w:rPr>
        <w:t xml:space="preserve"> </w:t>
      </w:r>
      <w:r w:rsidRPr="009E72F4">
        <w:rPr>
          <w:rFonts w:ascii="Times New Roman" w:eastAsia="DengXian" w:hAnsi="Times New Roman" w:cs="Times New Roman"/>
          <w:color w:val="000000"/>
          <w:kern w:val="0"/>
          <w:sz w:val="24"/>
          <w:szCs w:val="24"/>
          <w:shd w:val="clear" w:color="auto" w:fill="FFFFFF"/>
          <w:lang w:val="en-GB"/>
        </w:rPr>
        <w:t>Examples are:</w:t>
      </w:r>
    </w:p>
    <w:p w14:paraId="16902D9D" w14:textId="77777777" w:rsidR="009E72F4" w:rsidRPr="009E72F4" w:rsidRDefault="009E72F4" w:rsidP="00584325">
      <w:pPr>
        <w:widowControl/>
        <w:spacing w:before="120" w:after="120" w:line="276" w:lineRule="auto"/>
        <w:ind w:left="720"/>
        <w:rPr>
          <w:rFonts w:ascii="Times New Roman" w:eastAsia="DengXian" w:hAnsi="Times New Roman" w:cs="Times New Roman"/>
          <w:color w:val="000000"/>
          <w:kern w:val="0"/>
          <w:sz w:val="24"/>
          <w:szCs w:val="24"/>
          <w:shd w:val="clear" w:color="auto" w:fill="FFFFFF"/>
          <w:lang w:val="en-GB"/>
        </w:rPr>
      </w:pPr>
    </w:p>
    <w:p w14:paraId="10F307A7" w14:textId="1776DAFB" w:rsidR="009E72F4" w:rsidRDefault="009E72F4" w:rsidP="00584325">
      <w:pPr>
        <w:widowControl/>
        <w:numPr>
          <w:ilvl w:val="0"/>
          <w:numId w:val="22"/>
        </w:numPr>
        <w:spacing w:before="120" w:after="120" w:line="276" w:lineRule="auto"/>
        <w:ind w:left="1080"/>
        <w:contextualSpacing/>
        <w:jc w:val="left"/>
        <w:rPr>
          <w:rFonts w:ascii="Times New Roman" w:eastAsia="DengXian" w:hAnsi="Times New Roman" w:cs="Times New Roman"/>
          <w:color w:val="000000"/>
          <w:kern w:val="0"/>
          <w:sz w:val="24"/>
          <w:szCs w:val="24"/>
          <w:shd w:val="clear" w:color="auto" w:fill="FFFFFF"/>
          <w:lang w:eastAsia="en-US"/>
        </w:rPr>
      </w:pPr>
      <w:r w:rsidRPr="009E72F4">
        <w:rPr>
          <w:rFonts w:ascii="Times New Roman" w:eastAsia="DengXian" w:hAnsi="Times New Roman" w:cs="Times New Roman"/>
          <w:color w:val="000000"/>
          <w:kern w:val="0"/>
          <w:sz w:val="24"/>
          <w:szCs w:val="24"/>
          <w:shd w:val="clear" w:color="auto" w:fill="FFFFFF"/>
          <w:lang w:eastAsia="en-US"/>
        </w:rPr>
        <w:t xml:space="preserve">For maritime transport services (passenger transportation and freight transportation less cabotage), </w:t>
      </w:r>
      <w:r w:rsidRPr="009E72F4">
        <w:rPr>
          <w:rFonts w:ascii="Times New Roman" w:eastAsia="DengXian" w:hAnsi="Times New Roman" w:cs="Times New Roman"/>
          <w:color w:val="000000"/>
          <w:kern w:val="0"/>
          <w:sz w:val="24"/>
          <w:szCs w:val="24"/>
          <w:shd w:val="clear" w:color="auto" w:fill="FFFFFF"/>
          <w:lang w:val="vi-VN" w:eastAsia="en-US"/>
        </w:rPr>
        <w:t xml:space="preserve">a </w:t>
      </w:r>
      <w:r w:rsidRPr="009E72F4">
        <w:rPr>
          <w:rFonts w:ascii="Times New Roman" w:eastAsia="DengXian" w:hAnsi="Times New Roman" w:cs="Times New Roman"/>
          <w:color w:val="000000"/>
          <w:kern w:val="0"/>
          <w:sz w:val="24"/>
          <w:szCs w:val="24"/>
          <w:shd w:val="clear" w:color="auto" w:fill="FFFFFF"/>
          <w:lang w:eastAsia="en-US"/>
        </w:rPr>
        <w:t>number of foreign seafarers permitted to work in ships under Vietnam’s flag shall not exceed one-third of the total employees of the ships</w:t>
      </w:r>
      <w:r>
        <w:rPr>
          <w:rStyle w:val="aa"/>
          <w:rFonts w:ascii="Times New Roman" w:eastAsia="DengXian" w:hAnsi="Times New Roman" w:cs="Times New Roman"/>
          <w:color w:val="000000"/>
          <w:kern w:val="0"/>
          <w:sz w:val="24"/>
          <w:szCs w:val="24"/>
          <w:shd w:val="clear" w:color="auto" w:fill="FFFFFF"/>
          <w:lang w:eastAsia="en-US"/>
        </w:rPr>
        <w:footnoteReference w:id="1"/>
      </w:r>
      <w:r w:rsidRPr="009E72F4">
        <w:rPr>
          <w:rFonts w:ascii="Times New Roman" w:eastAsia="DengXian" w:hAnsi="Times New Roman" w:cs="Times New Roman"/>
          <w:color w:val="000000"/>
          <w:kern w:val="0"/>
          <w:sz w:val="24"/>
          <w:szCs w:val="24"/>
          <w:shd w:val="clear" w:color="auto" w:fill="FFFFFF"/>
          <w:lang w:eastAsia="en-US"/>
        </w:rPr>
        <w:t>.</w:t>
      </w:r>
    </w:p>
    <w:p w14:paraId="15CA3DD0" w14:textId="77777777" w:rsidR="009E72F4" w:rsidRPr="009E72F4" w:rsidRDefault="009E72F4" w:rsidP="005A6E2E">
      <w:pPr>
        <w:widowControl/>
        <w:spacing w:before="120" w:after="120" w:line="276" w:lineRule="auto"/>
        <w:ind w:left="1080"/>
        <w:contextualSpacing/>
        <w:jc w:val="left"/>
        <w:rPr>
          <w:rFonts w:ascii="Times New Roman" w:eastAsia="DengXian" w:hAnsi="Times New Roman" w:cs="Times New Roman"/>
          <w:color w:val="000000"/>
          <w:kern w:val="0"/>
          <w:sz w:val="24"/>
          <w:szCs w:val="24"/>
          <w:shd w:val="clear" w:color="auto" w:fill="FFFFFF"/>
          <w:lang w:eastAsia="en-US"/>
        </w:rPr>
      </w:pPr>
    </w:p>
    <w:p w14:paraId="087D8A2A" w14:textId="517BA361" w:rsidR="009E72F4" w:rsidRPr="009E72F4" w:rsidRDefault="009E72F4" w:rsidP="00584325">
      <w:pPr>
        <w:widowControl/>
        <w:numPr>
          <w:ilvl w:val="0"/>
          <w:numId w:val="22"/>
        </w:numPr>
        <w:spacing w:before="120" w:after="120" w:line="276" w:lineRule="auto"/>
        <w:ind w:left="1080"/>
        <w:contextualSpacing/>
        <w:jc w:val="left"/>
        <w:rPr>
          <w:rFonts w:ascii="Times New Roman" w:eastAsia="DengXian" w:hAnsi="Times New Roman" w:cs="Times New Roman"/>
          <w:color w:val="000000"/>
          <w:kern w:val="0"/>
          <w:sz w:val="24"/>
          <w:szCs w:val="24"/>
          <w:shd w:val="clear" w:color="auto" w:fill="FFFFFF"/>
          <w:lang w:eastAsia="en-US"/>
        </w:rPr>
      </w:pPr>
      <w:r w:rsidRPr="009E72F4">
        <w:rPr>
          <w:rFonts w:ascii="Times New Roman" w:eastAsia="DengXian" w:hAnsi="Times New Roman" w:cs="Times New Roman"/>
          <w:color w:val="000000"/>
          <w:kern w:val="0"/>
          <w:sz w:val="24"/>
          <w:szCs w:val="24"/>
          <w:shd w:val="clear" w:color="auto" w:fill="FFFFFF"/>
          <w:lang w:eastAsia="en-US"/>
        </w:rPr>
        <w:t>Both domestic and foreign companies providing services of telecommunications, internet, and value-added services in cyberspace in Vietnam that conduct the collection, exploitation, analysis, or processing of data of individuals, data about relationships of service users, or data generated by users in Vietnam must preserve that data in Vietnam during the time period regulated by the Government</w:t>
      </w:r>
      <w:r>
        <w:rPr>
          <w:rStyle w:val="aa"/>
          <w:rFonts w:ascii="Times New Roman" w:eastAsia="DengXian" w:hAnsi="Times New Roman" w:cs="Times New Roman"/>
          <w:color w:val="000000"/>
          <w:kern w:val="0"/>
          <w:sz w:val="24"/>
          <w:szCs w:val="24"/>
          <w:shd w:val="clear" w:color="auto" w:fill="FFFFFF"/>
          <w:lang w:eastAsia="en-US"/>
        </w:rPr>
        <w:footnoteReference w:id="2"/>
      </w:r>
      <w:r w:rsidRPr="009E72F4">
        <w:rPr>
          <w:rFonts w:ascii="Times New Roman" w:eastAsia="DengXian" w:hAnsi="Times New Roman" w:cs="Times New Roman"/>
          <w:color w:val="000000"/>
          <w:kern w:val="0"/>
          <w:sz w:val="24"/>
          <w:szCs w:val="24"/>
          <w:shd w:val="clear" w:color="auto" w:fill="FFFFFF"/>
          <w:lang w:eastAsia="en-US"/>
        </w:rPr>
        <w:t>.</w:t>
      </w:r>
    </w:p>
    <w:p w14:paraId="12EE95B2" w14:textId="77777777" w:rsidR="009E72F4" w:rsidRPr="009E72F4" w:rsidRDefault="009E72F4" w:rsidP="00584325">
      <w:pPr>
        <w:widowControl/>
        <w:spacing w:before="120" w:after="120" w:line="276" w:lineRule="auto"/>
        <w:ind w:left="1080"/>
        <w:contextualSpacing/>
        <w:rPr>
          <w:rFonts w:ascii="Times New Roman" w:eastAsia="DengXian" w:hAnsi="Times New Roman" w:cs="Times New Roman"/>
          <w:color w:val="000000"/>
          <w:kern w:val="0"/>
          <w:sz w:val="24"/>
          <w:szCs w:val="24"/>
          <w:shd w:val="clear" w:color="auto" w:fill="FFFFFF"/>
        </w:rPr>
      </w:pPr>
    </w:p>
    <w:p w14:paraId="65F1857C" w14:textId="77777777" w:rsidR="009E72F4" w:rsidRPr="009E72F4" w:rsidRDefault="009E72F4" w:rsidP="00584325">
      <w:pPr>
        <w:widowControl/>
        <w:numPr>
          <w:ilvl w:val="0"/>
          <w:numId w:val="20"/>
        </w:numPr>
        <w:adjustRightInd w:val="0"/>
        <w:snapToGrid w:val="0"/>
        <w:spacing w:before="120" w:after="120" w:line="276" w:lineRule="auto"/>
        <w:ind w:right="72"/>
        <w:contextualSpacing/>
        <w:jc w:val="left"/>
        <w:rPr>
          <w:rFonts w:ascii="Times New Roman" w:eastAsia="DengXian" w:hAnsi="Times New Roman" w:cs="Times New Roman"/>
          <w:b/>
          <w:bCs/>
          <w:color w:val="000000"/>
          <w:kern w:val="0"/>
          <w:sz w:val="24"/>
          <w:szCs w:val="24"/>
          <w:lang w:eastAsia="en-US"/>
        </w:rPr>
      </w:pPr>
      <w:r w:rsidRPr="009E72F4">
        <w:rPr>
          <w:rFonts w:ascii="Times New Roman" w:eastAsia="DengXian" w:hAnsi="Times New Roman" w:cs="Times New Roman"/>
          <w:b/>
          <w:bCs/>
          <w:color w:val="000000"/>
          <w:kern w:val="0"/>
          <w:sz w:val="24"/>
          <w:szCs w:val="24"/>
          <w:lang w:eastAsia="en-US"/>
        </w:rPr>
        <w:lastRenderedPageBreak/>
        <w:t>Are there any exchange control restrictions in terms of remittance of capital, profits and dividends?</w:t>
      </w:r>
    </w:p>
    <w:p w14:paraId="369A83CC" w14:textId="77777777" w:rsidR="009E72F4" w:rsidRPr="009E72F4" w:rsidRDefault="009E72F4" w:rsidP="00584325">
      <w:pPr>
        <w:adjustRightInd w:val="0"/>
        <w:snapToGrid w:val="0"/>
        <w:spacing w:before="120" w:after="120" w:line="276" w:lineRule="auto"/>
        <w:ind w:left="720" w:right="72"/>
        <w:contextualSpacing/>
        <w:rPr>
          <w:rFonts w:ascii="Times New Roman" w:eastAsia="DengXian" w:hAnsi="Times New Roman" w:cs="Times New Roman"/>
          <w:b/>
          <w:bCs/>
          <w:color w:val="000000"/>
          <w:kern w:val="0"/>
          <w:sz w:val="24"/>
          <w:szCs w:val="24"/>
        </w:rPr>
      </w:pPr>
    </w:p>
    <w:p w14:paraId="60BF0D23" w14:textId="743F75B2" w:rsidR="009E72F4" w:rsidRPr="009E72F4" w:rsidRDefault="009E72F4" w:rsidP="00584325">
      <w:pPr>
        <w:snapToGrid w:val="0"/>
        <w:spacing w:before="120" w:after="120" w:line="276" w:lineRule="auto"/>
        <w:ind w:left="864" w:right="72"/>
        <w:outlineLvl w:val="2"/>
        <w:rPr>
          <w:rFonts w:ascii="Times New Roman" w:eastAsia="DengXian" w:hAnsi="Times New Roman" w:cs="Times New Roman"/>
          <w:color w:val="000000"/>
          <w:kern w:val="0"/>
          <w:sz w:val="24"/>
          <w:szCs w:val="24"/>
          <w:lang w:val="en-GB" w:eastAsia="en-US"/>
        </w:rPr>
      </w:pPr>
      <w:r w:rsidRPr="009E72F4">
        <w:rPr>
          <w:rFonts w:ascii="Times New Roman" w:eastAsia="DengXian" w:hAnsi="Times New Roman" w:cs="Times New Roman"/>
          <w:color w:val="000000"/>
          <w:kern w:val="0"/>
          <w:sz w:val="24"/>
          <w:szCs w:val="24"/>
          <w:lang w:val="en-GB" w:eastAsia="en-US"/>
        </w:rPr>
        <w:t>The Local currency, Vietnam Dong (VND) is</w:t>
      </w:r>
      <w:r w:rsidRPr="009E72F4">
        <w:rPr>
          <w:rFonts w:ascii="Times New Roman" w:eastAsia="DengXian" w:hAnsi="Times New Roman" w:cs="Times New Roman"/>
          <w:color w:val="000000"/>
          <w:kern w:val="0"/>
          <w:sz w:val="24"/>
          <w:szCs w:val="24"/>
          <w:lang w:val="en-GB"/>
        </w:rPr>
        <w:t xml:space="preserve"> </w:t>
      </w:r>
      <w:r w:rsidRPr="009E72F4">
        <w:rPr>
          <w:rFonts w:ascii="Times New Roman" w:eastAsia="DengXian" w:hAnsi="Times New Roman" w:cs="Times New Roman"/>
          <w:color w:val="000000"/>
          <w:kern w:val="0"/>
          <w:sz w:val="24"/>
          <w:szCs w:val="24"/>
        </w:rPr>
        <w:t>NOT</w:t>
      </w:r>
      <w:r w:rsidRPr="009E72F4">
        <w:rPr>
          <w:rFonts w:ascii="Times New Roman" w:eastAsia="DengXian" w:hAnsi="Times New Roman" w:cs="Times New Roman" w:hint="eastAsia"/>
          <w:color w:val="000000"/>
          <w:kern w:val="0"/>
          <w:sz w:val="24"/>
          <w:szCs w:val="24"/>
          <w:lang w:val="en-GB"/>
        </w:rPr>
        <w:t xml:space="preserve"> </w:t>
      </w:r>
      <w:r w:rsidRPr="009E72F4">
        <w:rPr>
          <w:rFonts w:ascii="Times New Roman" w:eastAsia="DengXian" w:hAnsi="Times New Roman" w:cs="Times New Roman"/>
          <w:color w:val="000000"/>
          <w:kern w:val="0"/>
          <w:sz w:val="24"/>
          <w:szCs w:val="24"/>
          <w:lang w:val="en-GB" w:eastAsia="en-US"/>
        </w:rPr>
        <w:t>freely convertible to foreign currently just like RMB in China.</w:t>
      </w:r>
      <w:r>
        <w:rPr>
          <w:rFonts w:ascii="Times New Roman" w:eastAsia="DengXian" w:hAnsi="Times New Roman" w:cs="Times New Roman"/>
          <w:color w:val="000000"/>
          <w:kern w:val="0"/>
          <w:sz w:val="24"/>
          <w:szCs w:val="24"/>
          <w:lang w:val="en-GB" w:eastAsia="en-US"/>
        </w:rPr>
        <w:t xml:space="preserve"> </w:t>
      </w:r>
      <w:r w:rsidRPr="009E72F4">
        <w:rPr>
          <w:rFonts w:ascii="Times New Roman" w:eastAsia="DengXian" w:hAnsi="Times New Roman" w:cs="Times New Roman"/>
          <w:color w:val="000000"/>
          <w:kern w:val="0"/>
          <w:sz w:val="24"/>
          <w:szCs w:val="24"/>
          <w:lang w:val="en-GB" w:eastAsia="en-US"/>
        </w:rPr>
        <w:t xml:space="preserve">Banking and foreign exchange are </w:t>
      </w:r>
      <w:r w:rsidRPr="009E72F4">
        <w:rPr>
          <w:rFonts w:ascii="Times New Roman" w:eastAsia="DengXian" w:hAnsi="Times New Roman" w:cs="Times New Roman" w:hint="eastAsia"/>
          <w:color w:val="000000"/>
          <w:kern w:val="0"/>
          <w:sz w:val="24"/>
          <w:szCs w:val="24"/>
          <w:lang w:val="en-GB"/>
        </w:rPr>
        <w:t>one</w:t>
      </w:r>
      <w:r w:rsidRPr="009E72F4">
        <w:rPr>
          <w:rFonts w:ascii="Times New Roman" w:eastAsia="DengXian" w:hAnsi="Times New Roman" w:cs="Times New Roman"/>
          <w:color w:val="000000"/>
          <w:kern w:val="0"/>
          <w:sz w:val="24"/>
          <w:szCs w:val="24"/>
          <w:lang w:val="en-GB"/>
        </w:rPr>
        <w:t xml:space="preserve"> of </w:t>
      </w:r>
      <w:r w:rsidRPr="009E72F4">
        <w:rPr>
          <w:rFonts w:ascii="Times New Roman" w:eastAsia="DengXian" w:hAnsi="Times New Roman" w:cs="Times New Roman"/>
          <w:color w:val="000000"/>
          <w:kern w:val="0"/>
          <w:sz w:val="24"/>
          <w:szCs w:val="24"/>
          <w:lang w:val="en-GB" w:eastAsia="en-US"/>
        </w:rPr>
        <w:t>the areas where an investment and operation in Vietnam is expected to be in full compliance.</w:t>
      </w:r>
      <w:r>
        <w:rPr>
          <w:rFonts w:ascii="Times New Roman" w:eastAsia="DengXian" w:hAnsi="Times New Roman" w:cs="Times New Roman"/>
          <w:color w:val="000000"/>
          <w:kern w:val="0"/>
          <w:sz w:val="24"/>
          <w:szCs w:val="24"/>
          <w:lang w:val="en-GB" w:eastAsia="en-US"/>
        </w:rPr>
        <w:t xml:space="preserve"> </w:t>
      </w:r>
    </w:p>
    <w:p w14:paraId="66A27A75" w14:textId="77777777" w:rsidR="009E72F4" w:rsidRDefault="009E72F4" w:rsidP="00584325">
      <w:pPr>
        <w:snapToGrid w:val="0"/>
        <w:spacing w:before="120" w:after="120" w:line="276" w:lineRule="auto"/>
        <w:ind w:left="864" w:right="72"/>
        <w:outlineLvl w:val="2"/>
        <w:rPr>
          <w:rFonts w:ascii="Times New Roman" w:eastAsia="宋体" w:hAnsi="Times New Roman" w:cs="Times New Roman"/>
          <w:color w:val="000000"/>
          <w:kern w:val="0"/>
          <w:sz w:val="24"/>
          <w:szCs w:val="24"/>
          <w:lang w:val="en-GB"/>
        </w:rPr>
      </w:pPr>
    </w:p>
    <w:p w14:paraId="096CED76" w14:textId="4578F939" w:rsidR="009E72F4" w:rsidRDefault="009E72F4" w:rsidP="00584325">
      <w:pPr>
        <w:snapToGrid w:val="0"/>
        <w:spacing w:before="120" w:after="120" w:line="276" w:lineRule="auto"/>
        <w:ind w:left="864" w:right="72"/>
        <w:outlineLvl w:val="2"/>
        <w:rPr>
          <w:rFonts w:ascii="Times New Roman" w:eastAsia="DengXian" w:hAnsi="Times New Roman" w:cs="Times New Roman"/>
          <w:color w:val="000000"/>
          <w:kern w:val="0"/>
          <w:sz w:val="24"/>
          <w:szCs w:val="24"/>
          <w:lang w:val="en-GB" w:eastAsia="en-US"/>
        </w:rPr>
      </w:pPr>
      <w:r w:rsidRPr="009E72F4">
        <w:rPr>
          <w:rFonts w:ascii="Times New Roman" w:eastAsia="DengXian" w:hAnsi="Times New Roman" w:cs="Times New Roman"/>
          <w:color w:val="000000"/>
          <w:kern w:val="0"/>
          <w:sz w:val="24"/>
          <w:szCs w:val="24"/>
          <w:lang w:val="en-GB" w:eastAsia="en-US"/>
        </w:rPr>
        <w:t>Remittance of capital, profits, or dividends are permissible from the “capital account” (formally called Direct Investment Capital Account or “DICA”) of a foreign investor upon fulfilling the conditions imposed by those regulations.</w:t>
      </w:r>
      <w:r>
        <w:rPr>
          <w:rFonts w:ascii="Times New Roman" w:eastAsia="DengXian" w:hAnsi="Times New Roman" w:cs="Times New Roman"/>
          <w:color w:val="000000"/>
          <w:kern w:val="0"/>
          <w:sz w:val="24"/>
          <w:szCs w:val="24"/>
          <w:lang w:val="en-GB" w:eastAsia="en-US"/>
        </w:rPr>
        <w:t xml:space="preserve"> </w:t>
      </w:r>
    </w:p>
    <w:p w14:paraId="1B9C2E3B" w14:textId="77777777" w:rsidR="009E72F4" w:rsidRDefault="009E72F4" w:rsidP="00584325">
      <w:pPr>
        <w:snapToGrid w:val="0"/>
        <w:spacing w:before="120" w:after="120" w:line="276" w:lineRule="auto"/>
        <w:ind w:left="864" w:right="72"/>
        <w:outlineLvl w:val="2"/>
        <w:rPr>
          <w:rFonts w:ascii="Times New Roman" w:eastAsia="DengXian" w:hAnsi="Times New Roman" w:cs="Times New Roman"/>
          <w:color w:val="000000"/>
          <w:kern w:val="0"/>
          <w:sz w:val="24"/>
          <w:szCs w:val="24"/>
          <w:lang w:val="en-GB" w:eastAsia="en-US"/>
        </w:rPr>
      </w:pPr>
    </w:p>
    <w:p w14:paraId="76DEF528" w14:textId="77777777" w:rsidR="009E72F4" w:rsidRDefault="009E72F4" w:rsidP="00584325">
      <w:pPr>
        <w:snapToGrid w:val="0"/>
        <w:spacing w:before="120" w:after="120" w:line="276" w:lineRule="auto"/>
        <w:ind w:left="864" w:right="72"/>
        <w:outlineLvl w:val="2"/>
        <w:rPr>
          <w:rFonts w:ascii="Times New Roman" w:eastAsia="DengXian" w:hAnsi="Times New Roman" w:cs="Times New Roman"/>
          <w:color w:val="000000"/>
          <w:kern w:val="0"/>
          <w:sz w:val="24"/>
          <w:szCs w:val="24"/>
          <w:lang w:val="en-GB" w:eastAsia="en-US"/>
        </w:rPr>
      </w:pPr>
      <w:r w:rsidRPr="009E72F4">
        <w:rPr>
          <w:rFonts w:ascii="Times New Roman" w:eastAsia="DengXian" w:hAnsi="Times New Roman" w:cs="Times New Roman"/>
          <w:color w:val="000000"/>
          <w:kern w:val="0"/>
          <w:sz w:val="24"/>
          <w:szCs w:val="24"/>
          <w:lang w:val="en-GB" w:eastAsia="en-US"/>
        </w:rPr>
        <w:t>Foreign investors can repatriate profits overseas when the followings are satisfied:</w:t>
      </w:r>
    </w:p>
    <w:p w14:paraId="58B085CC" w14:textId="51A660DE" w:rsidR="009E72F4" w:rsidRPr="009E72F4" w:rsidRDefault="009E72F4" w:rsidP="00584325">
      <w:pPr>
        <w:snapToGrid w:val="0"/>
        <w:spacing w:before="120" w:after="120" w:line="276" w:lineRule="auto"/>
        <w:ind w:left="864" w:right="72"/>
        <w:outlineLvl w:val="2"/>
        <w:rPr>
          <w:rFonts w:ascii="Times New Roman" w:eastAsia="DengXian" w:hAnsi="Times New Roman" w:cs="Times New Roman"/>
          <w:b/>
          <w:i/>
          <w:iCs/>
          <w:color w:val="000000"/>
          <w:kern w:val="0"/>
          <w:sz w:val="24"/>
          <w:szCs w:val="24"/>
          <w:lang w:eastAsia="en-US"/>
        </w:rPr>
      </w:pPr>
      <w:r w:rsidRPr="009E72F4">
        <w:rPr>
          <w:rFonts w:ascii="Times New Roman" w:eastAsia="DengXian" w:hAnsi="Times New Roman" w:cs="Times New Roman"/>
          <w:color w:val="000000"/>
          <w:kern w:val="0"/>
          <w:sz w:val="24"/>
          <w:szCs w:val="24"/>
          <w:lang w:val="en-GB" w:eastAsia="en-US"/>
        </w:rPr>
        <w:t xml:space="preserve"> </w:t>
      </w:r>
    </w:p>
    <w:p w14:paraId="5ED9AF3E" w14:textId="4B92ECC4" w:rsidR="009E72F4" w:rsidRPr="009E72F4" w:rsidRDefault="009E72F4" w:rsidP="00584325">
      <w:pPr>
        <w:widowControl/>
        <w:numPr>
          <w:ilvl w:val="0"/>
          <w:numId w:val="23"/>
        </w:numPr>
        <w:snapToGrid w:val="0"/>
        <w:spacing w:before="120" w:after="120" w:line="276" w:lineRule="auto"/>
        <w:ind w:left="1368" w:right="72"/>
        <w:contextualSpacing/>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Fulfilling its financial obligations to the State of Vietnam under the law (i.e., tax payments</w:t>
      </w:r>
      <w:r w:rsidRPr="009E72F4">
        <w:rPr>
          <w:rFonts w:ascii="Times New Roman" w:eastAsia="DengXian" w:hAnsi="Times New Roman" w:cs="Times New Roman"/>
          <w:kern w:val="0"/>
          <w:sz w:val="22"/>
          <w:lang w:eastAsia="en-US"/>
        </w:rPr>
        <w:t xml:space="preserve"> </w:t>
      </w:r>
      <w:r w:rsidRPr="009E72F4">
        <w:rPr>
          <w:rFonts w:ascii="Times New Roman" w:eastAsia="DengXian" w:hAnsi="Times New Roman" w:cs="Times New Roman"/>
          <w:color w:val="000000"/>
          <w:kern w:val="0"/>
          <w:sz w:val="24"/>
          <w:szCs w:val="24"/>
          <w:lang w:eastAsia="en-US"/>
        </w:rPr>
        <w:t>are current).</w:t>
      </w:r>
    </w:p>
    <w:p w14:paraId="6024D6FB" w14:textId="58E70FBE" w:rsidR="009E72F4" w:rsidRPr="009E72F4" w:rsidRDefault="009E72F4" w:rsidP="00584325">
      <w:pPr>
        <w:snapToGrid w:val="0"/>
        <w:spacing w:before="120" w:after="120" w:line="276" w:lineRule="auto"/>
        <w:ind w:left="1368" w:right="72"/>
        <w:contextualSpacing/>
        <w:rPr>
          <w:rFonts w:ascii="Times New Roman" w:eastAsia="DengXian" w:hAnsi="Times New Roman" w:cs="Times New Roman"/>
          <w:color w:val="000000"/>
          <w:kern w:val="0"/>
          <w:sz w:val="24"/>
          <w:szCs w:val="24"/>
        </w:rPr>
      </w:pPr>
    </w:p>
    <w:p w14:paraId="005845E3" w14:textId="0D130C69" w:rsidR="009E72F4" w:rsidRPr="009E72F4" w:rsidRDefault="009E72F4" w:rsidP="00584325">
      <w:pPr>
        <w:widowControl/>
        <w:numPr>
          <w:ilvl w:val="0"/>
          <w:numId w:val="23"/>
        </w:numPr>
        <w:snapToGrid w:val="0"/>
        <w:spacing w:before="120" w:after="120" w:line="276" w:lineRule="auto"/>
        <w:ind w:left="1368" w:right="72"/>
        <w:contextualSpacing/>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 xml:space="preserve">Submitting its audited financial statement and declaration of its company income tax to a competent tax bureau (foreign </w:t>
      </w:r>
      <w:r w:rsidRPr="009E72F4">
        <w:rPr>
          <w:rFonts w:ascii="Times New Roman" w:eastAsia="DengXian" w:hAnsi="Times New Roman" w:cs="Times New Roman" w:hint="eastAsia"/>
          <w:color w:val="000000"/>
          <w:kern w:val="0"/>
          <w:sz w:val="24"/>
          <w:szCs w:val="24"/>
        </w:rPr>
        <w:t>owned</w:t>
      </w:r>
      <w:r w:rsidRPr="009E72F4">
        <w:rPr>
          <w:rFonts w:ascii="Times New Roman" w:eastAsia="DengXian" w:hAnsi="Times New Roman" w:cs="Times New Roman"/>
          <w:color w:val="000000"/>
          <w:kern w:val="0"/>
          <w:sz w:val="24"/>
          <w:szCs w:val="24"/>
        </w:rPr>
        <w:t xml:space="preserve"> enterprises </w:t>
      </w:r>
      <w:r w:rsidRPr="009E72F4">
        <w:rPr>
          <w:rFonts w:ascii="Times New Roman" w:eastAsia="DengXian" w:hAnsi="Times New Roman" w:cs="Times New Roman"/>
          <w:color w:val="000000"/>
          <w:kern w:val="0"/>
          <w:sz w:val="24"/>
          <w:szCs w:val="24"/>
          <w:lang w:eastAsia="en-US"/>
        </w:rPr>
        <w:t>are under mandatory audit requirement).</w:t>
      </w:r>
    </w:p>
    <w:p w14:paraId="557DBBC1" w14:textId="6E78F474" w:rsidR="009E72F4" w:rsidRPr="009E72F4" w:rsidRDefault="009E72F4" w:rsidP="00584325">
      <w:pPr>
        <w:snapToGrid w:val="0"/>
        <w:spacing w:before="120" w:after="120" w:line="276" w:lineRule="auto"/>
        <w:ind w:left="1368" w:right="72"/>
        <w:contextualSpacing/>
        <w:rPr>
          <w:rFonts w:ascii="Times New Roman" w:eastAsia="宋体" w:hAnsi="Times New Roman" w:cs="Times New Roman"/>
          <w:color w:val="000000"/>
          <w:kern w:val="0"/>
          <w:sz w:val="24"/>
          <w:szCs w:val="24"/>
        </w:rPr>
      </w:pPr>
    </w:p>
    <w:p w14:paraId="5398ADFC" w14:textId="77777777" w:rsidR="009E72F4" w:rsidRPr="009E72F4" w:rsidRDefault="009E72F4" w:rsidP="00584325">
      <w:pPr>
        <w:widowControl/>
        <w:numPr>
          <w:ilvl w:val="0"/>
          <w:numId w:val="23"/>
        </w:numPr>
        <w:snapToGrid w:val="0"/>
        <w:spacing w:before="120" w:after="120" w:line="276" w:lineRule="auto"/>
        <w:ind w:left="1368" w:right="72"/>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Fulfilling other obligations in accordance with the law on tax administration (if any).</w:t>
      </w:r>
    </w:p>
    <w:p w14:paraId="6EF233CA" w14:textId="77777777" w:rsidR="009E72F4" w:rsidRPr="009E72F4" w:rsidRDefault="009E72F4" w:rsidP="00584325">
      <w:pPr>
        <w:snapToGrid w:val="0"/>
        <w:spacing w:before="120" w:after="120" w:line="276" w:lineRule="auto"/>
        <w:ind w:left="1368" w:right="72"/>
        <w:rPr>
          <w:rFonts w:ascii="Times New Roman" w:eastAsia="DengXian" w:hAnsi="Times New Roman" w:cs="Times New Roman"/>
          <w:color w:val="000000"/>
          <w:kern w:val="0"/>
          <w:sz w:val="24"/>
          <w:szCs w:val="24"/>
        </w:rPr>
      </w:pPr>
    </w:p>
    <w:p w14:paraId="5CB9AC84" w14:textId="79947326" w:rsidR="009E72F4" w:rsidRPr="009E72F4" w:rsidRDefault="009E72F4" w:rsidP="00584325">
      <w:pPr>
        <w:widowControl/>
        <w:numPr>
          <w:ilvl w:val="0"/>
          <w:numId w:val="20"/>
        </w:numPr>
        <w:adjustRightInd w:val="0"/>
        <w:snapToGrid w:val="0"/>
        <w:spacing w:before="120" w:after="120" w:line="276" w:lineRule="auto"/>
        <w:ind w:right="72"/>
        <w:contextualSpacing/>
        <w:jc w:val="left"/>
        <w:rPr>
          <w:rFonts w:ascii="Times New Roman" w:eastAsia="DengXian" w:hAnsi="Times New Roman" w:cs="Times New Roman"/>
          <w:b/>
          <w:bCs/>
          <w:color w:val="000000"/>
          <w:kern w:val="0"/>
          <w:sz w:val="24"/>
          <w:szCs w:val="24"/>
          <w:lang w:eastAsia="en-US"/>
        </w:rPr>
      </w:pPr>
      <w:r w:rsidRPr="009E72F4">
        <w:rPr>
          <w:rFonts w:ascii="Times New Roman" w:eastAsia="DengXian" w:hAnsi="Times New Roman" w:cs="Times New Roman"/>
          <w:b/>
          <w:bCs/>
          <w:color w:val="000000"/>
          <w:kern w:val="0"/>
          <w:sz w:val="24"/>
          <w:szCs w:val="24"/>
          <w:lang w:eastAsia="en-US"/>
        </w:rPr>
        <w:t>What are the most common types of corporate legal</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entities</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established</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for FDI?</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For each type of corporate legal entities, please introduce the internal corporate governance structure.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What</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types</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of</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corporate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legal</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entities</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are recommended for partially or wholly foreign owned corporate legal entities?</w:t>
      </w:r>
    </w:p>
    <w:p w14:paraId="03F4C351" w14:textId="77777777" w:rsidR="009E72F4" w:rsidRPr="009E72F4" w:rsidRDefault="009E72F4" w:rsidP="00584325">
      <w:pPr>
        <w:widowControl/>
        <w:spacing w:before="120" w:after="120" w:line="276" w:lineRule="auto"/>
        <w:jc w:val="left"/>
        <w:rPr>
          <w:rFonts w:ascii="Times New Roman" w:eastAsia="DengXian" w:hAnsi="Times New Roman" w:cs="Times New Roman"/>
          <w:kern w:val="0"/>
          <w:sz w:val="24"/>
          <w:szCs w:val="24"/>
          <w:lang w:val="en-GB"/>
        </w:rPr>
      </w:pPr>
    </w:p>
    <w:p w14:paraId="5FF5BDA3" w14:textId="62C98611" w:rsidR="009E72F4" w:rsidRPr="009E72F4" w:rsidRDefault="009E72F4" w:rsidP="00584325">
      <w:pPr>
        <w:widowControl/>
        <w:spacing w:before="120" w:after="120" w:line="276" w:lineRule="auto"/>
        <w:ind w:left="720"/>
        <w:rPr>
          <w:rFonts w:ascii="Times New Roman" w:eastAsia="DengXian" w:hAnsi="Times New Roman" w:cs="Times New Roman"/>
          <w:color w:val="000000"/>
          <w:kern w:val="0"/>
          <w:sz w:val="24"/>
          <w:szCs w:val="24"/>
          <w:lang w:val="en-GB" w:eastAsia="en-US"/>
        </w:rPr>
      </w:pPr>
      <w:r w:rsidRPr="009E72F4">
        <w:rPr>
          <w:rFonts w:ascii="Times New Roman" w:eastAsia="DengXian" w:hAnsi="Times New Roman" w:cs="Times New Roman"/>
          <w:color w:val="000000"/>
          <w:kern w:val="0"/>
          <w:sz w:val="24"/>
          <w:szCs w:val="24"/>
          <w:lang w:val="en-GB" w:eastAsia="en-US"/>
        </w:rPr>
        <w:t>Three (3) common types of business entities are used by for domestic and foreign investors.</w:t>
      </w:r>
      <w:r>
        <w:rPr>
          <w:rFonts w:ascii="Times New Roman" w:eastAsia="DengXian" w:hAnsi="Times New Roman" w:cs="Times New Roman"/>
          <w:color w:val="000000"/>
          <w:kern w:val="0"/>
          <w:sz w:val="24"/>
          <w:szCs w:val="24"/>
          <w:lang w:val="en-GB" w:eastAsia="en-US"/>
        </w:rPr>
        <w:t xml:space="preserve"> </w:t>
      </w:r>
      <w:r w:rsidRPr="009E72F4">
        <w:rPr>
          <w:rFonts w:ascii="Times New Roman" w:eastAsia="DengXian" w:hAnsi="Times New Roman" w:cs="Times New Roman"/>
          <w:color w:val="000000"/>
          <w:kern w:val="0"/>
          <w:sz w:val="24"/>
          <w:szCs w:val="24"/>
          <w:lang w:val="en-GB" w:eastAsia="en-US"/>
        </w:rPr>
        <w:t xml:space="preserve">Other forms of business include partnership and sole proprietorship. </w:t>
      </w:r>
    </w:p>
    <w:p w14:paraId="03D4E3C6" w14:textId="77777777" w:rsidR="009E72F4" w:rsidRPr="009E72F4" w:rsidRDefault="009E72F4" w:rsidP="00584325">
      <w:pPr>
        <w:widowControl/>
        <w:spacing w:before="120" w:after="120" w:line="276" w:lineRule="auto"/>
        <w:rPr>
          <w:rFonts w:ascii="Times New Roman" w:eastAsia="DengXian" w:hAnsi="Times New Roman" w:cs="Times New Roman"/>
          <w:color w:val="000000"/>
          <w:kern w:val="0"/>
          <w:sz w:val="24"/>
          <w:szCs w:val="24"/>
          <w:lang w:val="en-GB"/>
        </w:rPr>
      </w:pPr>
    </w:p>
    <w:tbl>
      <w:tblPr>
        <w:tblStyle w:val="af7"/>
        <w:tblW w:w="4967" w:type="pct"/>
        <w:tblLayout w:type="fixed"/>
        <w:tblLook w:val="04A0" w:firstRow="1" w:lastRow="0" w:firstColumn="1" w:lastColumn="0" w:noHBand="0" w:noVBand="1"/>
      </w:tblPr>
      <w:tblGrid>
        <w:gridCol w:w="1781"/>
        <w:gridCol w:w="2184"/>
        <w:gridCol w:w="2664"/>
        <w:gridCol w:w="3043"/>
      </w:tblGrid>
      <w:tr w:rsidR="009E72F4" w:rsidRPr="009E72F4" w14:paraId="79C2C529" w14:textId="77777777" w:rsidTr="005A6E2E">
        <w:tc>
          <w:tcPr>
            <w:tcW w:w="921" w:type="pct"/>
          </w:tcPr>
          <w:p w14:paraId="1932C4A6" w14:textId="77777777" w:rsidR="009E72F4" w:rsidRPr="009E72F4" w:rsidRDefault="009E72F4" w:rsidP="009E72F4">
            <w:pPr>
              <w:widowControl/>
              <w:spacing w:before="120" w:after="120" w:line="240" w:lineRule="atLeast"/>
              <w:jc w:val="left"/>
              <w:rPr>
                <w:rFonts w:ascii="Times New Roman" w:eastAsia="DengXian" w:hAnsi="Times New Roman" w:cs="Times New Roman"/>
                <w:b/>
                <w:color w:val="000000"/>
                <w:sz w:val="24"/>
                <w:szCs w:val="24"/>
                <w:lang w:val="en-GB"/>
              </w:rPr>
            </w:pPr>
          </w:p>
        </w:tc>
        <w:tc>
          <w:tcPr>
            <w:tcW w:w="1129" w:type="pct"/>
          </w:tcPr>
          <w:p w14:paraId="0F71A472" w14:textId="1BB8D486" w:rsidR="009E72F4" w:rsidRPr="009E72F4" w:rsidRDefault="009E72F4" w:rsidP="009E72F4">
            <w:pPr>
              <w:widowControl/>
              <w:spacing w:before="120" w:after="120" w:line="240" w:lineRule="atLeast"/>
              <w:jc w:val="left"/>
              <w:rPr>
                <w:rFonts w:ascii="Times New Roman" w:eastAsia="DengXian" w:hAnsi="Times New Roman" w:cs="Times New Roman"/>
                <w:b/>
                <w:color w:val="000000"/>
                <w:sz w:val="24"/>
                <w:szCs w:val="24"/>
                <w:lang w:val="en-GB"/>
              </w:rPr>
            </w:pPr>
            <w:r w:rsidRPr="009E72F4">
              <w:rPr>
                <w:rFonts w:ascii="Times New Roman" w:eastAsia="DengXian" w:hAnsi="Times New Roman" w:cs="Times New Roman"/>
                <w:b/>
                <w:color w:val="000000"/>
                <w:sz w:val="24"/>
                <w:szCs w:val="24"/>
                <w:lang w:val="en-GB"/>
              </w:rPr>
              <w:t>Single Member Limited Liability Company</w:t>
            </w:r>
          </w:p>
        </w:tc>
        <w:tc>
          <w:tcPr>
            <w:tcW w:w="1377" w:type="pct"/>
          </w:tcPr>
          <w:p w14:paraId="4531CF27" w14:textId="394800F4" w:rsidR="009E72F4" w:rsidRPr="009E72F4" w:rsidRDefault="009E72F4" w:rsidP="009E72F4">
            <w:pPr>
              <w:widowControl/>
              <w:spacing w:before="120" w:after="120" w:line="240" w:lineRule="atLeast"/>
              <w:jc w:val="left"/>
              <w:rPr>
                <w:rFonts w:ascii="Times New Roman" w:eastAsia="DengXian" w:hAnsi="Times New Roman" w:cs="Times New Roman"/>
                <w:b/>
                <w:color w:val="000000"/>
                <w:sz w:val="24"/>
                <w:szCs w:val="24"/>
                <w:lang w:val="en-GB"/>
              </w:rPr>
            </w:pPr>
            <w:r w:rsidRPr="009E72F4">
              <w:rPr>
                <w:rFonts w:ascii="Times New Roman" w:eastAsia="DengXian" w:hAnsi="Times New Roman" w:cs="Times New Roman"/>
                <w:b/>
                <w:color w:val="000000"/>
                <w:sz w:val="24"/>
                <w:szCs w:val="24"/>
                <w:lang w:val="en-GB"/>
              </w:rPr>
              <w:t xml:space="preserve">Multi-member Limited Liability Company </w:t>
            </w:r>
          </w:p>
        </w:tc>
        <w:tc>
          <w:tcPr>
            <w:tcW w:w="1574" w:type="pct"/>
          </w:tcPr>
          <w:p w14:paraId="41D093CC" w14:textId="7148BA05" w:rsidR="009E72F4" w:rsidRPr="009E72F4" w:rsidRDefault="009E72F4" w:rsidP="009E72F4">
            <w:pPr>
              <w:widowControl/>
              <w:spacing w:before="120" w:after="120" w:line="240" w:lineRule="atLeast"/>
              <w:jc w:val="left"/>
              <w:rPr>
                <w:rFonts w:ascii="Times New Roman" w:eastAsia="DengXian" w:hAnsi="Times New Roman" w:cs="Times New Roman"/>
                <w:b/>
                <w:color w:val="000000"/>
                <w:sz w:val="24"/>
                <w:szCs w:val="24"/>
                <w:lang w:val="en-GB"/>
              </w:rPr>
            </w:pPr>
            <w:r w:rsidRPr="009E72F4">
              <w:rPr>
                <w:rFonts w:ascii="Times New Roman" w:eastAsia="DengXian" w:hAnsi="Times New Roman" w:cs="Times New Roman"/>
                <w:b/>
                <w:color w:val="000000"/>
                <w:sz w:val="24"/>
                <w:szCs w:val="24"/>
                <w:lang w:val="en-GB"/>
              </w:rPr>
              <w:t>Joint Stock Company</w:t>
            </w:r>
          </w:p>
        </w:tc>
      </w:tr>
      <w:tr w:rsidR="009E72F4" w:rsidRPr="009E72F4" w14:paraId="0154FFC7" w14:textId="77777777" w:rsidTr="005A6E2E">
        <w:tc>
          <w:tcPr>
            <w:tcW w:w="921" w:type="pct"/>
          </w:tcPr>
          <w:p w14:paraId="253A78F0" w14:textId="60F0130B" w:rsidR="009E72F4" w:rsidRPr="009E72F4" w:rsidRDefault="009E72F4" w:rsidP="009E72F4">
            <w:pPr>
              <w:widowControl/>
              <w:spacing w:before="120" w:after="120" w:line="240" w:lineRule="atLeast"/>
              <w:jc w:val="left"/>
              <w:rPr>
                <w:rFonts w:ascii="Times New Roman" w:eastAsia="DengXian" w:hAnsi="Times New Roman" w:cs="Times New Roman"/>
                <w:color w:val="000000"/>
                <w:sz w:val="24"/>
                <w:szCs w:val="24"/>
                <w:lang w:val="vi-VN"/>
              </w:rPr>
            </w:pPr>
            <w:r w:rsidRPr="009E72F4">
              <w:rPr>
                <w:rFonts w:ascii="Times New Roman" w:eastAsia="DengXian" w:hAnsi="Times New Roman" w:cs="Times New Roman"/>
                <w:b/>
                <w:i/>
                <w:color w:val="000000"/>
                <w:sz w:val="24"/>
                <w:szCs w:val="24"/>
                <w:lang w:val="en-GB"/>
              </w:rPr>
              <w:t>Number of member</w:t>
            </w:r>
            <w:r w:rsidRPr="009E72F4">
              <w:rPr>
                <w:rFonts w:ascii="Times New Roman" w:eastAsia="DengXian" w:hAnsi="Times New Roman" w:cs="Times New Roman"/>
                <w:b/>
                <w:i/>
                <w:color w:val="000000"/>
                <w:sz w:val="24"/>
                <w:szCs w:val="24"/>
                <w:lang w:val="vi-VN"/>
              </w:rPr>
              <w:t>(s)/shareholder(s)</w:t>
            </w:r>
          </w:p>
        </w:tc>
        <w:tc>
          <w:tcPr>
            <w:tcW w:w="1129" w:type="pct"/>
          </w:tcPr>
          <w:p w14:paraId="241453F9" w14:textId="2262DCC8" w:rsidR="009E72F4" w:rsidRPr="009E72F4" w:rsidRDefault="009E72F4" w:rsidP="009E72F4">
            <w:pPr>
              <w:widowControl/>
              <w:spacing w:before="120" w:after="120" w:line="240" w:lineRule="atLeast"/>
              <w:jc w:val="left"/>
              <w:rPr>
                <w:rFonts w:ascii="Times New Roman" w:eastAsia="DengXian" w:hAnsi="Times New Roman" w:cs="Times New Roman"/>
                <w:color w:val="000000"/>
                <w:sz w:val="24"/>
                <w:szCs w:val="24"/>
                <w:lang w:val="en-GB"/>
              </w:rPr>
            </w:pPr>
            <w:r w:rsidRPr="009E72F4">
              <w:rPr>
                <w:rFonts w:ascii="Times New Roman" w:eastAsia="DengXian" w:hAnsi="Times New Roman" w:cs="Times New Roman"/>
                <w:color w:val="000000"/>
                <w:sz w:val="24"/>
                <w:szCs w:val="24"/>
                <w:lang w:val="en-GB"/>
              </w:rPr>
              <w:t xml:space="preserve">One individual or organization </w:t>
            </w:r>
          </w:p>
        </w:tc>
        <w:tc>
          <w:tcPr>
            <w:tcW w:w="1377" w:type="pct"/>
          </w:tcPr>
          <w:p w14:paraId="2DD5A44C" w14:textId="70B1D02C" w:rsidR="009E72F4" w:rsidRPr="009E72F4" w:rsidRDefault="009E72F4" w:rsidP="009E72F4">
            <w:pPr>
              <w:widowControl/>
              <w:spacing w:before="120" w:after="120" w:line="240" w:lineRule="atLeast"/>
              <w:jc w:val="left"/>
              <w:rPr>
                <w:rFonts w:ascii="Times New Roman" w:eastAsia="DengXian" w:hAnsi="Times New Roman" w:cs="Times New Roman"/>
                <w:color w:val="000000"/>
                <w:sz w:val="24"/>
                <w:szCs w:val="24"/>
                <w:lang w:val="en-GB"/>
              </w:rPr>
            </w:pPr>
            <w:r w:rsidRPr="009E72F4">
              <w:rPr>
                <w:rFonts w:ascii="Times New Roman" w:eastAsia="DengXian" w:hAnsi="Times New Roman" w:cs="Times New Roman"/>
                <w:color w:val="000000"/>
                <w:sz w:val="24"/>
                <w:szCs w:val="24"/>
                <w:lang w:val="en-GB"/>
              </w:rPr>
              <w:t>At least two (02) up to</w:t>
            </w:r>
            <w:r>
              <w:rPr>
                <w:rFonts w:ascii="Times New Roman" w:eastAsia="DengXian" w:hAnsi="Times New Roman" w:cs="Times New Roman"/>
                <w:color w:val="000000"/>
                <w:sz w:val="24"/>
                <w:szCs w:val="24"/>
                <w:lang w:val="en-GB"/>
              </w:rPr>
              <w:t xml:space="preserve"> </w:t>
            </w:r>
            <w:r w:rsidRPr="009E72F4">
              <w:rPr>
                <w:rFonts w:ascii="Times New Roman" w:eastAsia="DengXian" w:hAnsi="Times New Roman" w:cs="Times New Roman"/>
                <w:color w:val="000000"/>
                <w:sz w:val="24"/>
                <w:szCs w:val="24"/>
                <w:lang w:val="en-GB"/>
              </w:rPr>
              <w:t>fifty (50) (including individual(s) and/or organization(s))</w:t>
            </w:r>
          </w:p>
        </w:tc>
        <w:tc>
          <w:tcPr>
            <w:tcW w:w="1574" w:type="pct"/>
          </w:tcPr>
          <w:p w14:paraId="1A6DCCC2" w14:textId="4CE00052" w:rsidR="009E72F4" w:rsidRPr="009E72F4" w:rsidRDefault="009E72F4" w:rsidP="009E72F4">
            <w:pPr>
              <w:widowControl/>
              <w:spacing w:before="120" w:after="120" w:line="240" w:lineRule="atLeast"/>
              <w:jc w:val="left"/>
              <w:rPr>
                <w:rFonts w:ascii="Times New Roman" w:eastAsia="DengXian" w:hAnsi="Times New Roman" w:cs="Times New Roman"/>
                <w:color w:val="000000"/>
                <w:sz w:val="24"/>
                <w:szCs w:val="24"/>
                <w:lang w:val="en-GB"/>
              </w:rPr>
            </w:pPr>
            <w:r w:rsidRPr="009E72F4">
              <w:rPr>
                <w:rFonts w:ascii="Times New Roman" w:eastAsia="DengXian" w:hAnsi="Times New Roman" w:cs="Times New Roman"/>
                <w:color w:val="000000"/>
                <w:sz w:val="24"/>
                <w:szCs w:val="24"/>
                <w:lang w:val="en-GB"/>
              </w:rPr>
              <w:t xml:space="preserve">Minimum three (03) (including individual(s) </w:t>
            </w:r>
            <w:r w:rsidRPr="009E72F4">
              <w:rPr>
                <w:rFonts w:ascii="Times New Roman" w:eastAsia="DengXian" w:hAnsi="Times New Roman" w:cs="Times New Roman" w:hint="eastAsia"/>
                <w:color w:val="000000"/>
                <w:sz w:val="24"/>
                <w:szCs w:val="24"/>
                <w:lang w:val="en-GB"/>
              </w:rPr>
              <w:t>and</w:t>
            </w:r>
            <w:r w:rsidRPr="009E72F4">
              <w:rPr>
                <w:rFonts w:ascii="Times New Roman" w:eastAsia="DengXian" w:hAnsi="Times New Roman" w:cs="Times New Roman"/>
                <w:color w:val="000000"/>
                <w:sz w:val="24"/>
                <w:szCs w:val="24"/>
                <w:lang w:val="en-GB"/>
              </w:rPr>
              <w:t>/or organization(s))</w:t>
            </w:r>
          </w:p>
        </w:tc>
      </w:tr>
      <w:tr w:rsidR="009E72F4" w:rsidRPr="009E72F4" w14:paraId="2C7D9802" w14:textId="77777777" w:rsidTr="005A6E2E">
        <w:tc>
          <w:tcPr>
            <w:tcW w:w="921" w:type="pct"/>
          </w:tcPr>
          <w:p w14:paraId="56CFB9F0" w14:textId="6B331F54" w:rsidR="009E72F4" w:rsidRPr="009E72F4" w:rsidRDefault="009E72F4" w:rsidP="009E72F4">
            <w:pPr>
              <w:widowControl/>
              <w:spacing w:before="120" w:after="120" w:line="240" w:lineRule="atLeast"/>
              <w:jc w:val="left"/>
              <w:rPr>
                <w:rFonts w:ascii="Times New Roman" w:eastAsia="DengXian" w:hAnsi="Times New Roman" w:cs="Times New Roman"/>
                <w:color w:val="000000"/>
                <w:sz w:val="24"/>
                <w:szCs w:val="24"/>
                <w:u w:val="single"/>
                <w:lang w:val="en-GB"/>
              </w:rPr>
            </w:pPr>
            <w:r w:rsidRPr="009E72F4">
              <w:rPr>
                <w:rFonts w:ascii="Times New Roman" w:eastAsia="DengXian" w:hAnsi="Times New Roman" w:cs="Times New Roman"/>
                <w:b/>
                <w:i/>
                <w:color w:val="000000"/>
                <w:sz w:val="24"/>
                <w:szCs w:val="24"/>
                <w:lang w:val="en-GB"/>
              </w:rPr>
              <w:lastRenderedPageBreak/>
              <w:t>Organizational management structure</w:t>
            </w:r>
          </w:p>
        </w:tc>
        <w:tc>
          <w:tcPr>
            <w:tcW w:w="1129" w:type="pct"/>
          </w:tcPr>
          <w:p w14:paraId="7A1D0191" w14:textId="70BC73D5" w:rsidR="009E72F4" w:rsidRDefault="009E72F4" w:rsidP="00281B3A">
            <w:pPr>
              <w:widowControl/>
              <w:numPr>
                <w:ilvl w:val="0"/>
                <w:numId w:val="3"/>
              </w:numPr>
              <w:spacing w:before="120" w:after="120" w:line="240" w:lineRule="atLeast"/>
              <w:ind w:left="259" w:hanging="187"/>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Individual as member:</w:t>
            </w:r>
          </w:p>
          <w:p w14:paraId="08B4AEEA" w14:textId="77777777" w:rsidR="009E72F4" w:rsidRPr="009E72F4" w:rsidRDefault="009E72F4" w:rsidP="009E72F4">
            <w:pPr>
              <w:widowControl/>
              <w:spacing w:before="120" w:after="120" w:line="240" w:lineRule="atLeast"/>
              <w:ind w:left="259"/>
              <w:jc w:val="left"/>
              <w:rPr>
                <w:rFonts w:ascii="Times New Roman" w:eastAsia="DengXian" w:hAnsi="Times New Roman" w:cs="Times New Roman"/>
                <w:color w:val="000000"/>
                <w:sz w:val="24"/>
                <w:szCs w:val="24"/>
              </w:rPr>
            </w:pPr>
          </w:p>
          <w:p w14:paraId="24EB66F1" w14:textId="77777777" w:rsidR="009E72F4" w:rsidRPr="009E72F4" w:rsidRDefault="009E72F4" w:rsidP="00281B3A">
            <w:pPr>
              <w:widowControl/>
              <w:numPr>
                <w:ilvl w:val="0"/>
                <w:numId w:val="4"/>
              </w:numPr>
              <w:spacing w:before="120" w:after="120" w:line="240" w:lineRule="atLeast"/>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The company president (company owner), and</w:t>
            </w:r>
          </w:p>
          <w:p w14:paraId="75D8F8B9" w14:textId="3C708A7B" w:rsidR="009E72F4" w:rsidRPr="009E72F4" w:rsidRDefault="009E72F4" w:rsidP="009E72F4">
            <w:pPr>
              <w:widowControl/>
              <w:spacing w:before="120" w:after="120" w:line="240" w:lineRule="atLeast"/>
              <w:ind w:left="720"/>
              <w:jc w:val="left"/>
              <w:rPr>
                <w:rFonts w:ascii="Times New Roman" w:eastAsia="DengXian" w:hAnsi="Times New Roman" w:cs="Times New Roman"/>
                <w:color w:val="000000"/>
                <w:sz w:val="24"/>
                <w:szCs w:val="24"/>
                <w:lang w:eastAsia="zh-CN"/>
              </w:rPr>
            </w:pPr>
          </w:p>
          <w:p w14:paraId="1FCAD4DC" w14:textId="77777777" w:rsidR="009E72F4" w:rsidRPr="009E72F4" w:rsidRDefault="009E72F4" w:rsidP="00281B3A">
            <w:pPr>
              <w:widowControl/>
              <w:numPr>
                <w:ilvl w:val="0"/>
                <w:numId w:val="4"/>
              </w:numPr>
              <w:spacing w:before="120" w:after="120" w:line="240" w:lineRule="atLeast"/>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Director/General Director.</w:t>
            </w:r>
          </w:p>
          <w:p w14:paraId="4354B4F1" w14:textId="1C271470" w:rsidR="009E72F4" w:rsidRPr="009E72F4" w:rsidRDefault="009E72F4" w:rsidP="009E72F4">
            <w:pPr>
              <w:widowControl/>
              <w:spacing w:before="120" w:after="120" w:line="240" w:lineRule="atLeast"/>
              <w:ind w:left="720"/>
              <w:jc w:val="left"/>
              <w:rPr>
                <w:rFonts w:ascii="Times New Roman" w:eastAsia="DengXian" w:hAnsi="Times New Roman" w:cs="Times New Roman"/>
                <w:color w:val="000000"/>
                <w:sz w:val="24"/>
                <w:szCs w:val="24"/>
              </w:rPr>
            </w:pPr>
          </w:p>
          <w:p w14:paraId="23AE6429" w14:textId="77777777" w:rsidR="009E72F4" w:rsidRPr="009E72F4" w:rsidRDefault="009E72F4" w:rsidP="00281B3A">
            <w:pPr>
              <w:widowControl/>
              <w:numPr>
                <w:ilvl w:val="0"/>
                <w:numId w:val="3"/>
              </w:numPr>
              <w:spacing w:before="120" w:after="120" w:line="240" w:lineRule="atLeast"/>
              <w:ind w:left="252" w:hanging="180"/>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Organization as member:</w:t>
            </w:r>
          </w:p>
          <w:p w14:paraId="74452DDE" w14:textId="58B95355" w:rsidR="009E72F4" w:rsidRPr="009E72F4" w:rsidRDefault="009E72F4" w:rsidP="009E72F4">
            <w:pPr>
              <w:widowControl/>
              <w:spacing w:before="120" w:after="120" w:line="240" w:lineRule="atLeast"/>
              <w:ind w:left="252" w:hanging="180"/>
              <w:jc w:val="left"/>
              <w:rPr>
                <w:rFonts w:ascii="Times New Roman" w:eastAsia="DengXian" w:hAnsi="Times New Roman" w:cs="Times New Roman"/>
                <w:color w:val="000000"/>
                <w:sz w:val="24"/>
                <w:szCs w:val="24"/>
              </w:rPr>
            </w:pPr>
          </w:p>
          <w:p w14:paraId="1CFD8799" w14:textId="77777777" w:rsidR="009E72F4" w:rsidRPr="009E72F4" w:rsidRDefault="009E72F4" w:rsidP="00281B3A">
            <w:pPr>
              <w:widowControl/>
              <w:numPr>
                <w:ilvl w:val="0"/>
                <w:numId w:val="5"/>
              </w:numPr>
              <w:spacing w:before="120" w:after="120" w:line="240" w:lineRule="atLeast"/>
              <w:ind w:left="612"/>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Board of Members (03-07 members) or company president, and</w:t>
            </w:r>
          </w:p>
          <w:p w14:paraId="4547CC6D" w14:textId="771BA90F" w:rsidR="009E72F4" w:rsidRPr="009E72F4" w:rsidRDefault="009E72F4" w:rsidP="009E72F4">
            <w:pPr>
              <w:widowControl/>
              <w:spacing w:before="120" w:after="120" w:line="240" w:lineRule="atLeast"/>
              <w:ind w:left="612"/>
              <w:jc w:val="left"/>
              <w:rPr>
                <w:rFonts w:ascii="Times New Roman" w:eastAsia="DengXian" w:hAnsi="Times New Roman" w:cs="Times New Roman"/>
                <w:color w:val="000000"/>
                <w:sz w:val="24"/>
                <w:szCs w:val="24"/>
                <w:lang w:eastAsia="zh-CN"/>
              </w:rPr>
            </w:pPr>
          </w:p>
          <w:p w14:paraId="6E7A5540" w14:textId="77777777" w:rsidR="009E72F4" w:rsidRPr="009E72F4" w:rsidRDefault="009E72F4" w:rsidP="00281B3A">
            <w:pPr>
              <w:widowControl/>
              <w:numPr>
                <w:ilvl w:val="0"/>
                <w:numId w:val="5"/>
              </w:numPr>
              <w:spacing w:before="120" w:after="120" w:line="240" w:lineRule="atLeast"/>
              <w:ind w:left="612"/>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Director/General Director.</w:t>
            </w:r>
          </w:p>
          <w:p w14:paraId="6625686A" w14:textId="638A9BA0" w:rsidR="009E72F4" w:rsidRPr="009E72F4" w:rsidRDefault="009E72F4" w:rsidP="009E72F4">
            <w:pPr>
              <w:widowControl/>
              <w:spacing w:before="120" w:after="120" w:line="240" w:lineRule="atLeast"/>
              <w:ind w:left="612"/>
              <w:jc w:val="left"/>
              <w:rPr>
                <w:rFonts w:ascii="Times New Roman" w:eastAsia="DengXian" w:hAnsi="Times New Roman" w:cs="Times New Roman"/>
                <w:color w:val="000000"/>
                <w:sz w:val="24"/>
                <w:szCs w:val="24"/>
              </w:rPr>
            </w:pPr>
          </w:p>
          <w:p w14:paraId="26E01F39" w14:textId="32C665EA" w:rsidR="009E72F4" w:rsidRPr="009E72F4" w:rsidRDefault="009E72F4" w:rsidP="009E72F4">
            <w:pPr>
              <w:widowControl/>
              <w:spacing w:before="120" w:after="120" w:line="240" w:lineRule="atLeast"/>
              <w:ind w:left="252"/>
              <w:jc w:val="left"/>
              <w:rPr>
                <w:rFonts w:ascii="Times New Roman" w:eastAsia="DengXian" w:hAnsi="Times New Roman" w:cs="Times New Roman"/>
                <w:color w:val="000000"/>
                <w:sz w:val="24"/>
                <w:szCs w:val="24"/>
                <w:lang w:val="en-GB"/>
              </w:rPr>
            </w:pPr>
            <w:r w:rsidRPr="009E72F4">
              <w:rPr>
                <w:rFonts w:ascii="Times New Roman" w:eastAsia="DengXian" w:hAnsi="Times New Roman" w:cs="Times New Roman"/>
                <w:color w:val="000000"/>
                <w:sz w:val="24"/>
                <w:szCs w:val="24"/>
                <w:lang w:val="en-GB"/>
              </w:rPr>
              <w:t xml:space="preserve">Accordingly, the company owner appoints its authorized representative(s) to act as the company president or member of the Board of Members. </w:t>
            </w:r>
          </w:p>
        </w:tc>
        <w:tc>
          <w:tcPr>
            <w:tcW w:w="1377" w:type="pct"/>
          </w:tcPr>
          <w:p w14:paraId="7F1A945C" w14:textId="77777777" w:rsidR="009E72F4" w:rsidRPr="009E72F4" w:rsidRDefault="009E72F4" w:rsidP="009E72F4">
            <w:pPr>
              <w:widowControl/>
              <w:spacing w:before="120" w:after="120" w:line="240" w:lineRule="atLeast"/>
              <w:jc w:val="left"/>
              <w:rPr>
                <w:rFonts w:ascii="Times New Roman" w:eastAsia="DengXian" w:hAnsi="Times New Roman" w:cs="Times New Roman"/>
                <w:color w:val="000000"/>
                <w:sz w:val="24"/>
                <w:szCs w:val="24"/>
                <w:lang w:val="en-GB"/>
              </w:rPr>
            </w:pPr>
            <w:r w:rsidRPr="009E72F4">
              <w:rPr>
                <w:rFonts w:ascii="Times New Roman" w:eastAsia="DengXian" w:hAnsi="Times New Roman" w:cs="Times New Roman"/>
                <w:color w:val="000000"/>
                <w:sz w:val="24"/>
                <w:szCs w:val="24"/>
                <w:lang w:val="en-GB"/>
              </w:rPr>
              <w:t>Including:</w:t>
            </w:r>
          </w:p>
          <w:p w14:paraId="39BA98A4" w14:textId="5CF2FC0D" w:rsidR="009E72F4" w:rsidRPr="009E72F4" w:rsidRDefault="009E72F4" w:rsidP="009E72F4">
            <w:pPr>
              <w:widowControl/>
              <w:spacing w:before="120" w:after="120" w:line="240" w:lineRule="atLeast"/>
              <w:jc w:val="left"/>
              <w:rPr>
                <w:rFonts w:ascii="Times New Roman" w:eastAsia="DengXian" w:hAnsi="Times New Roman" w:cs="Times New Roman"/>
                <w:color w:val="000000"/>
                <w:sz w:val="24"/>
                <w:szCs w:val="24"/>
                <w:lang w:val="en-GB"/>
              </w:rPr>
            </w:pPr>
          </w:p>
          <w:p w14:paraId="467E91F0" w14:textId="77777777" w:rsidR="009E72F4" w:rsidRPr="009E72F4" w:rsidRDefault="009E72F4" w:rsidP="00281B3A">
            <w:pPr>
              <w:widowControl/>
              <w:numPr>
                <w:ilvl w:val="0"/>
                <w:numId w:val="3"/>
              </w:numPr>
              <w:spacing w:before="120" w:after="120" w:line="240" w:lineRule="atLeast"/>
              <w:ind w:left="259" w:hanging="187"/>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Board of Members which is chaired by one of its members.</w:t>
            </w:r>
          </w:p>
          <w:p w14:paraId="00B16D2C" w14:textId="714B2338" w:rsidR="009E72F4" w:rsidRPr="009E72F4" w:rsidRDefault="009E72F4" w:rsidP="009E72F4">
            <w:pPr>
              <w:widowControl/>
              <w:spacing w:before="120" w:after="120" w:line="240" w:lineRule="atLeast"/>
              <w:ind w:left="259" w:hanging="187"/>
              <w:jc w:val="left"/>
              <w:rPr>
                <w:rFonts w:ascii="Times New Roman" w:eastAsia="DengXian" w:hAnsi="Times New Roman" w:cs="Times New Roman"/>
                <w:color w:val="000000"/>
                <w:sz w:val="24"/>
                <w:szCs w:val="24"/>
                <w:lang w:eastAsia="zh-CN"/>
              </w:rPr>
            </w:pPr>
          </w:p>
          <w:p w14:paraId="31B5E150" w14:textId="77777777" w:rsidR="009E72F4" w:rsidRPr="009E72F4" w:rsidRDefault="009E72F4" w:rsidP="00281B3A">
            <w:pPr>
              <w:widowControl/>
              <w:numPr>
                <w:ilvl w:val="0"/>
                <w:numId w:val="3"/>
              </w:numPr>
              <w:spacing w:before="120" w:after="120" w:line="240" w:lineRule="atLeast"/>
              <w:ind w:left="251" w:hanging="180"/>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Director/General Director.</w:t>
            </w:r>
          </w:p>
          <w:p w14:paraId="299199F9" w14:textId="38333F72" w:rsidR="009E72F4" w:rsidRPr="009E72F4" w:rsidRDefault="009E72F4" w:rsidP="009E72F4">
            <w:pPr>
              <w:widowControl/>
              <w:spacing w:before="120" w:after="120" w:line="240" w:lineRule="atLeast"/>
              <w:ind w:left="251" w:hanging="180"/>
              <w:jc w:val="left"/>
              <w:rPr>
                <w:rFonts w:ascii="Times New Roman" w:eastAsia="DengXian" w:hAnsi="Times New Roman" w:cs="Times New Roman"/>
                <w:color w:val="000000"/>
                <w:sz w:val="24"/>
                <w:szCs w:val="24"/>
              </w:rPr>
            </w:pPr>
          </w:p>
        </w:tc>
        <w:tc>
          <w:tcPr>
            <w:tcW w:w="1574" w:type="pct"/>
          </w:tcPr>
          <w:p w14:paraId="51CCB79D" w14:textId="77777777" w:rsidR="009E72F4" w:rsidRPr="009E72F4" w:rsidRDefault="009E72F4" w:rsidP="00281B3A">
            <w:pPr>
              <w:widowControl/>
              <w:numPr>
                <w:ilvl w:val="0"/>
                <w:numId w:val="3"/>
              </w:numPr>
              <w:spacing w:before="120" w:after="120" w:line="240" w:lineRule="atLeast"/>
              <w:ind w:left="252" w:hanging="180"/>
              <w:jc w:val="left"/>
              <w:rPr>
                <w:rFonts w:ascii="Times New Roman" w:eastAsia="DengXian" w:hAnsi="Times New Roman" w:cs="Times New Roman"/>
                <w:color w:val="000000"/>
                <w:sz w:val="24"/>
                <w:szCs w:val="24"/>
                <w:u w:val="single"/>
              </w:rPr>
            </w:pPr>
            <w:r w:rsidRPr="009E72F4">
              <w:rPr>
                <w:rFonts w:ascii="Times New Roman" w:eastAsia="DengXian" w:hAnsi="Times New Roman" w:cs="Times New Roman"/>
                <w:color w:val="000000"/>
                <w:sz w:val="24"/>
                <w:szCs w:val="24"/>
                <w:u w:val="single"/>
              </w:rPr>
              <w:t xml:space="preserve">Model 1: </w:t>
            </w:r>
          </w:p>
          <w:p w14:paraId="35ACF58A" w14:textId="6A931B65" w:rsidR="009E72F4" w:rsidRPr="009E72F4" w:rsidRDefault="009E72F4" w:rsidP="009E72F4">
            <w:pPr>
              <w:widowControl/>
              <w:spacing w:before="120" w:after="120" w:line="240" w:lineRule="atLeast"/>
              <w:ind w:left="252" w:hanging="180"/>
              <w:jc w:val="left"/>
              <w:rPr>
                <w:rFonts w:ascii="Times New Roman" w:eastAsia="DengXian" w:hAnsi="Times New Roman" w:cs="Times New Roman"/>
                <w:color w:val="000000"/>
                <w:sz w:val="24"/>
                <w:szCs w:val="24"/>
                <w:u w:val="single"/>
              </w:rPr>
            </w:pPr>
          </w:p>
          <w:p w14:paraId="475475B7" w14:textId="77777777" w:rsidR="009E72F4" w:rsidRPr="009E72F4" w:rsidRDefault="009E72F4" w:rsidP="00281B3A">
            <w:pPr>
              <w:widowControl/>
              <w:numPr>
                <w:ilvl w:val="0"/>
                <w:numId w:val="6"/>
              </w:numPr>
              <w:spacing w:before="120" w:after="120" w:line="240" w:lineRule="atLeast"/>
              <w:ind w:left="612"/>
              <w:jc w:val="left"/>
              <w:rPr>
                <w:rFonts w:ascii="Times New Roman" w:eastAsia="DengXian" w:hAnsi="Times New Roman" w:cs="Times New Roman"/>
                <w:color w:val="000000"/>
                <w:sz w:val="24"/>
                <w:szCs w:val="24"/>
                <w:u w:val="single"/>
              </w:rPr>
            </w:pPr>
            <w:r w:rsidRPr="009E72F4">
              <w:rPr>
                <w:rFonts w:ascii="Times New Roman" w:eastAsia="DengXian" w:hAnsi="Times New Roman" w:cs="Times New Roman"/>
                <w:color w:val="000000"/>
                <w:sz w:val="24"/>
                <w:szCs w:val="24"/>
              </w:rPr>
              <w:t>General Meeting of Shareholders, and</w:t>
            </w:r>
          </w:p>
          <w:p w14:paraId="0E34CB5E" w14:textId="0B9595E3" w:rsidR="009E72F4" w:rsidRPr="009E72F4" w:rsidRDefault="009E72F4" w:rsidP="009E72F4">
            <w:pPr>
              <w:widowControl/>
              <w:spacing w:before="120" w:after="120" w:line="240" w:lineRule="atLeast"/>
              <w:ind w:left="612"/>
              <w:jc w:val="left"/>
              <w:rPr>
                <w:rFonts w:ascii="Times New Roman" w:eastAsia="DengXian" w:hAnsi="Times New Roman" w:cs="Times New Roman"/>
                <w:color w:val="000000"/>
                <w:sz w:val="24"/>
                <w:szCs w:val="24"/>
                <w:u w:val="single"/>
              </w:rPr>
            </w:pPr>
          </w:p>
          <w:p w14:paraId="1A6A9F7B" w14:textId="2115BEEC" w:rsidR="009E72F4" w:rsidRPr="009E72F4" w:rsidRDefault="009E72F4" w:rsidP="00281B3A">
            <w:pPr>
              <w:widowControl/>
              <w:numPr>
                <w:ilvl w:val="0"/>
                <w:numId w:val="6"/>
              </w:numPr>
              <w:spacing w:before="120" w:after="120" w:line="240" w:lineRule="atLeast"/>
              <w:ind w:left="612"/>
              <w:jc w:val="left"/>
              <w:rPr>
                <w:rFonts w:ascii="Times New Roman" w:eastAsia="DengXian" w:hAnsi="Times New Roman" w:cs="Times New Roman"/>
                <w:color w:val="000000"/>
                <w:sz w:val="24"/>
                <w:szCs w:val="24"/>
                <w:u w:val="single"/>
              </w:rPr>
            </w:pPr>
            <w:r w:rsidRPr="009E72F4">
              <w:rPr>
                <w:rFonts w:ascii="Times New Roman" w:eastAsia="DengXian" w:hAnsi="Times New Roman" w:cs="Times New Roman"/>
                <w:color w:val="000000"/>
                <w:sz w:val="24"/>
                <w:szCs w:val="24"/>
              </w:rPr>
              <w:t>Board of Directors, and</w:t>
            </w:r>
          </w:p>
          <w:p w14:paraId="5A4A3AA6" w14:textId="77777777" w:rsidR="009E72F4" w:rsidRPr="009E72F4" w:rsidRDefault="009E72F4" w:rsidP="009E72F4">
            <w:pPr>
              <w:widowControl/>
              <w:spacing w:before="120" w:after="120" w:line="240" w:lineRule="atLeast"/>
              <w:ind w:left="612"/>
              <w:jc w:val="left"/>
              <w:rPr>
                <w:rFonts w:ascii="Times New Roman" w:eastAsia="DengXian" w:hAnsi="Times New Roman" w:cs="Times New Roman"/>
                <w:color w:val="000000"/>
                <w:sz w:val="24"/>
                <w:szCs w:val="24"/>
                <w:u w:val="single"/>
              </w:rPr>
            </w:pPr>
          </w:p>
          <w:p w14:paraId="2B9C1B27" w14:textId="77777777" w:rsidR="009E72F4" w:rsidRPr="009E72F4" w:rsidRDefault="009E72F4" w:rsidP="00281B3A">
            <w:pPr>
              <w:widowControl/>
              <w:numPr>
                <w:ilvl w:val="0"/>
                <w:numId w:val="6"/>
              </w:numPr>
              <w:spacing w:before="120" w:after="120" w:line="240" w:lineRule="atLeast"/>
              <w:ind w:left="612"/>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Director/General Director, and</w:t>
            </w:r>
          </w:p>
          <w:p w14:paraId="1ECA7492" w14:textId="0C874A8F" w:rsidR="009E72F4" w:rsidRPr="009E72F4" w:rsidRDefault="009E72F4" w:rsidP="009E72F4">
            <w:pPr>
              <w:widowControl/>
              <w:spacing w:before="120" w:after="120" w:line="240" w:lineRule="atLeast"/>
              <w:ind w:left="612"/>
              <w:jc w:val="left"/>
              <w:rPr>
                <w:rFonts w:ascii="Times New Roman" w:eastAsia="DengXian" w:hAnsi="Times New Roman" w:cs="Times New Roman"/>
                <w:color w:val="000000"/>
                <w:sz w:val="24"/>
                <w:szCs w:val="24"/>
              </w:rPr>
            </w:pPr>
          </w:p>
          <w:p w14:paraId="57E6D0DE" w14:textId="3B756E02" w:rsidR="009E72F4" w:rsidRPr="009E72F4" w:rsidRDefault="009E72F4" w:rsidP="00281B3A">
            <w:pPr>
              <w:widowControl/>
              <w:numPr>
                <w:ilvl w:val="0"/>
                <w:numId w:val="6"/>
              </w:numPr>
              <w:spacing w:before="120" w:after="120" w:line="240" w:lineRule="atLeast"/>
              <w:ind w:left="612"/>
              <w:jc w:val="left"/>
              <w:rPr>
                <w:rFonts w:ascii="Times New Roman" w:eastAsia="DengXian" w:hAnsi="Times New Roman" w:cs="Times New Roman"/>
                <w:color w:val="000000"/>
                <w:sz w:val="24"/>
                <w:szCs w:val="24"/>
              </w:rPr>
            </w:pPr>
            <w:r w:rsidRPr="009E72F4">
              <w:rPr>
                <w:rFonts w:ascii="Times New Roman" w:eastAsia="DengXian" w:hAnsi="Times New Roman" w:cs="Times New Roman"/>
                <w:bCs/>
                <w:color w:val="000000"/>
                <w:sz w:val="24"/>
                <w:szCs w:val="24"/>
              </w:rPr>
              <w:t>Board of Supervisors</w:t>
            </w:r>
            <w:r w:rsidRPr="009E72F4">
              <w:rPr>
                <w:rFonts w:ascii="Times New Roman" w:eastAsia="DengXian" w:hAnsi="Times New Roman" w:cs="Times New Roman"/>
                <w:bCs/>
                <w:color w:val="000000"/>
                <w:sz w:val="24"/>
                <w:szCs w:val="24"/>
                <w:lang w:val="vi-VN"/>
              </w:rPr>
              <w:t xml:space="preserve"> </w:t>
            </w:r>
            <w:r w:rsidRPr="009E72F4">
              <w:rPr>
                <w:rFonts w:ascii="Times New Roman" w:eastAsia="DengXian" w:hAnsi="Times New Roman" w:cs="Times New Roman"/>
                <w:bCs/>
                <w:color w:val="000000"/>
                <w:sz w:val="24"/>
                <w:szCs w:val="24"/>
              </w:rPr>
              <w:t>(only when</w:t>
            </w:r>
            <w:r w:rsidRPr="009E72F4">
              <w:rPr>
                <w:rFonts w:ascii="Times New Roman" w:eastAsia="DengXian" w:hAnsi="Times New Roman" w:cs="Times New Roman"/>
                <w:bCs/>
                <w:color w:val="000000"/>
                <w:sz w:val="24"/>
                <w:szCs w:val="24"/>
                <w:lang w:val="vi-VN"/>
              </w:rPr>
              <w:t xml:space="preserve"> </w:t>
            </w:r>
            <w:r w:rsidRPr="009E72F4">
              <w:rPr>
                <w:rFonts w:ascii="Times New Roman" w:eastAsia="DengXian" w:hAnsi="Times New Roman" w:cs="Times New Roman"/>
                <w:bCs/>
                <w:color w:val="000000"/>
                <w:sz w:val="24"/>
                <w:szCs w:val="24"/>
              </w:rPr>
              <w:t>more than eleven (11) shareholders and/or</w:t>
            </w:r>
            <w:r>
              <w:rPr>
                <w:rFonts w:ascii="Times New Roman" w:eastAsia="DengXian" w:hAnsi="Times New Roman" w:cs="Times New Roman"/>
                <w:bCs/>
                <w:color w:val="000000"/>
                <w:sz w:val="24"/>
                <w:szCs w:val="24"/>
              </w:rPr>
              <w:t xml:space="preserve"> </w:t>
            </w:r>
            <w:r w:rsidRPr="009E72F4">
              <w:rPr>
                <w:rFonts w:ascii="Times New Roman" w:eastAsia="DengXian" w:hAnsi="Times New Roman" w:cs="Times New Roman"/>
                <w:bCs/>
                <w:color w:val="000000"/>
                <w:sz w:val="24"/>
                <w:szCs w:val="24"/>
              </w:rPr>
              <w:t>shareholders being</w:t>
            </w:r>
            <w:r w:rsidRPr="009E72F4">
              <w:rPr>
                <w:rFonts w:ascii="Times New Roman" w:eastAsia="DengXian" w:hAnsi="Times New Roman" w:cs="Times New Roman"/>
                <w:bCs/>
                <w:color w:val="000000"/>
                <w:sz w:val="24"/>
                <w:szCs w:val="24"/>
                <w:lang w:val="vi-VN"/>
              </w:rPr>
              <w:t xml:space="preserve"> </w:t>
            </w:r>
            <w:r w:rsidRPr="009E72F4">
              <w:rPr>
                <w:rFonts w:ascii="Times New Roman" w:eastAsia="DengXian" w:hAnsi="Times New Roman" w:cs="Times New Roman"/>
                <w:bCs/>
                <w:color w:val="000000"/>
                <w:sz w:val="24"/>
                <w:szCs w:val="24"/>
              </w:rPr>
              <w:t>organization hold more than 50% of the company’s total shares).</w:t>
            </w:r>
          </w:p>
          <w:p w14:paraId="4CE7A798" w14:textId="36E8D60F" w:rsidR="009E72F4" w:rsidRPr="009E72F4" w:rsidRDefault="009E72F4" w:rsidP="009E72F4">
            <w:pPr>
              <w:widowControl/>
              <w:spacing w:before="120" w:after="120" w:line="240" w:lineRule="atLeast"/>
              <w:ind w:left="612"/>
              <w:jc w:val="left"/>
              <w:rPr>
                <w:rFonts w:ascii="Times New Roman" w:eastAsia="DengXian" w:hAnsi="Times New Roman" w:cs="Times New Roman"/>
                <w:color w:val="000000"/>
                <w:sz w:val="24"/>
                <w:szCs w:val="24"/>
                <w:lang w:eastAsia="zh-CN"/>
              </w:rPr>
            </w:pPr>
          </w:p>
          <w:p w14:paraId="6E154EFA" w14:textId="77777777" w:rsidR="009E72F4" w:rsidRPr="009E72F4" w:rsidRDefault="009E72F4" w:rsidP="00281B3A">
            <w:pPr>
              <w:widowControl/>
              <w:numPr>
                <w:ilvl w:val="0"/>
                <w:numId w:val="7"/>
              </w:numPr>
              <w:spacing w:before="120" w:after="120" w:line="240" w:lineRule="atLeast"/>
              <w:ind w:left="259" w:hanging="187"/>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u w:val="single"/>
              </w:rPr>
              <w:t>Model 2</w:t>
            </w:r>
            <w:r w:rsidRPr="009E72F4">
              <w:rPr>
                <w:rFonts w:ascii="Times New Roman" w:eastAsia="DengXian" w:hAnsi="Times New Roman" w:cs="Times New Roman"/>
                <w:color w:val="000000"/>
                <w:sz w:val="24"/>
                <w:szCs w:val="24"/>
              </w:rPr>
              <w:t xml:space="preserve">: </w:t>
            </w:r>
          </w:p>
          <w:p w14:paraId="4283C814" w14:textId="27243519" w:rsidR="009E72F4" w:rsidRPr="009E72F4" w:rsidRDefault="009E72F4" w:rsidP="009E72F4">
            <w:pPr>
              <w:widowControl/>
              <w:spacing w:before="120" w:after="120" w:line="240" w:lineRule="atLeast"/>
              <w:ind w:left="259" w:hanging="187"/>
              <w:jc w:val="left"/>
              <w:rPr>
                <w:rFonts w:ascii="Times New Roman" w:eastAsia="DengXian" w:hAnsi="Times New Roman" w:cs="Times New Roman"/>
                <w:color w:val="000000"/>
                <w:sz w:val="24"/>
                <w:szCs w:val="24"/>
              </w:rPr>
            </w:pPr>
          </w:p>
          <w:p w14:paraId="549F7976" w14:textId="77777777" w:rsidR="009E72F4" w:rsidRPr="009E72F4" w:rsidRDefault="009E72F4" w:rsidP="00281B3A">
            <w:pPr>
              <w:widowControl/>
              <w:numPr>
                <w:ilvl w:val="0"/>
                <w:numId w:val="8"/>
              </w:numPr>
              <w:spacing w:before="120" w:after="120" w:line="240" w:lineRule="atLeast"/>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General Meeting of Shareholders, and</w:t>
            </w:r>
          </w:p>
          <w:p w14:paraId="050387AD" w14:textId="151516A2" w:rsidR="009E72F4" w:rsidRPr="009E72F4" w:rsidRDefault="009E72F4" w:rsidP="009E72F4">
            <w:pPr>
              <w:widowControl/>
              <w:spacing w:before="120" w:after="120" w:line="240" w:lineRule="atLeast"/>
              <w:ind w:left="720"/>
              <w:jc w:val="left"/>
              <w:rPr>
                <w:rFonts w:ascii="Times New Roman" w:eastAsia="DengXian" w:hAnsi="Times New Roman" w:cs="Times New Roman"/>
                <w:color w:val="000000"/>
                <w:sz w:val="24"/>
                <w:szCs w:val="24"/>
              </w:rPr>
            </w:pPr>
          </w:p>
          <w:p w14:paraId="7378A939" w14:textId="77777777" w:rsidR="009E72F4" w:rsidRPr="009E72F4" w:rsidRDefault="009E72F4" w:rsidP="00281B3A">
            <w:pPr>
              <w:widowControl/>
              <w:numPr>
                <w:ilvl w:val="0"/>
                <w:numId w:val="8"/>
              </w:numPr>
              <w:spacing w:before="120" w:after="120" w:line="240" w:lineRule="atLeast"/>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Board of Directors (at least 20% of its members must be independent directors), and</w:t>
            </w:r>
          </w:p>
          <w:p w14:paraId="7700E471" w14:textId="7C766B6F" w:rsidR="009E72F4" w:rsidRPr="009E72F4" w:rsidRDefault="009E72F4" w:rsidP="009E72F4">
            <w:pPr>
              <w:widowControl/>
              <w:spacing w:before="120" w:after="120" w:line="240" w:lineRule="atLeast"/>
              <w:ind w:left="720"/>
              <w:jc w:val="left"/>
              <w:rPr>
                <w:rFonts w:ascii="Times New Roman" w:eastAsia="DengXian" w:hAnsi="Times New Roman" w:cs="Times New Roman"/>
                <w:color w:val="000000"/>
                <w:sz w:val="24"/>
                <w:szCs w:val="24"/>
                <w:lang w:eastAsia="zh-CN"/>
              </w:rPr>
            </w:pPr>
          </w:p>
          <w:p w14:paraId="7848C340" w14:textId="77777777" w:rsidR="009E72F4" w:rsidRPr="009E72F4" w:rsidRDefault="009E72F4" w:rsidP="00281B3A">
            <w:pPr>
              <w:widowControl/>
              <w:numPr>
                <w:ilvl w:val="0"/>
                <w:numId w:val="8"/>
              </w:numPr>
              <w:spacing w:before="120" w:after="120" w:line="240" w:lineRule="atLeast"/>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t>Director</w:t>
            </w:r>
            <w:r w:rsidRPr="009E72F4">
              <w:rPr>
                <w:rFonts w:ascii="Times New Roman" w:eastAsia="DengXian" w:hAnsi="Times New Roman" w:cs="Times New Roman"/>
                <w:color w:val="000000"/>
                <w:sz w:val="24"/>
                <w:szCs w:val="24"/>
                <w:lang w:val="vi-VN"/>
              </w:rPr>
              <w:t>/</w:t>
            </w:r>
            <w:r w:rsidRPr="009E72F4">
              <w:rPr>
                <w:rFonts w:ascii="Times New Roman" w:eastAsia="DengXian" w:hAnsi="Times New Roman" w:cs="Times New Roman"/>
                <w:color w:val="000000"/>
                <w:sz w:val="24"/>
                <w:szCs w:val="24"/>
              </w:rPr>
              <w:t>General Director), and</w:t>
            </w:r>
          </w:p>
          <w:p w14:paraId="1A77665D" w14:textId="4A87DB6B" w:rsidR="009E72F4" w:rsidRPr="009E72F4" w:rsidRDefault="009E72F4" w:rsidP="009E72F4">
            <w:pPr>
              <w:widowControl/>
              <w:spacing w:before="120" w:after="120" w:line="240" w:lineRule="atLeast"/>
              <w:ind w:left="720"/>
              <w:jc w:val="left"/>
              <w:rPr>
                <w:rFonts w:ascii="Times New Roman" w:eastAsia="DengXian" w:hAnsi="Times New Roman" w:cs="Times New Roman"/>
                <w:color w:val="000000"/>
                <w:sz w:val="24"/>
                <w:szCs w:val="24"/>
              </w:rPr>
            </w:pPr>
          </w:p>
          <w:p w14:paraId="71001DA1" w14:textId="4BE9625E" w:rsidR="009E72F4" w:rsidRPr="009E72F4" w:rsidRDefault="009E72F4" w:rsidP="00281B3A">
            <w:pPr>
              <w:widowControl/>
              <w:numPr>
                <w:ilvl w:val="0"/>
                <w:numId w:val="8"/>
              </w:numPr>
              <w:spacing w:before="120" w:after="120" w:line="240" w:lineRule="atLeast"/>
              <w:jc w:val="left"/>
              <w:rPr>
                <w:rFonts w:ascii="Times New Roman" w:eastAsia="DengXian" w:hAnsi="Times New Roman" w:cs="Times New Roman"/>
                <w:color w:val="000000"/>
                <w:sz w:val="24"/>
                <w:szCs w:val="24"/>
              </w:rPr>
            </w:pPr>
            <w:r w:rsidRPr="009E72F4">
              <w:rPr>
                <w:rFonts w:ascii="Times New Roman" w:eastAsia="DengXian" w:hAnsi="Times New Roman" w:cs="Times New Roman"/>
                <w:color w:val="000000"/>
                <w:sz w:val="24"/>
                <w:szCs w:val="24"/>
              </w:rPr>
              <w:lastRenderedPageBreak/>
              <w:t>Audit Committee under the BOD.</w:t>
            </w:r>
          </w:p>
        </w:tc>
      </w:tr>
    </w:tbl>
    <w:p w14:paraId="4F4F4CBF" w14:textId="77777777" w:rsidR="00584325" w:rsidRDefault="00584325" w:rsidP="00584325">
      <w:pPr>
        <w:widowControl/>
        <w:adjustRightInd w:val="0"/>
        <w:snapToGrid w:val="0"/>
        <w:spacing w:before="120" w:after="120" w:line="276" w:lineRule="auto"/>
        <w:ind w:left="360" w:right="72"/>
        <w:contextualSpacing/>
        <w:jc w:val="left"/>
        <w:rPr>
          <w:rFonts w:ascii="Times New Roman" w:eastAsia="DengXian" w:hAnsi="Times New Roman" w:cs="Times New Roman"/>
          <w:b/>
          <w:bCs/>
          <w:color w:val="000000"/>
          <w:kern w:val="0"/>
          <w:sz w:val="24"/>
          <w:szCs w:val="24"/>
          <w:lang w:eastAsia="en-US"/>
        </w:rPr>
      </w:pPr>
    </w:p>
    <w:p w14:paraId="6E034E18" w14:textId="697F2F87" w:rsidR="009E72F4" w:rsidRPr="009E72F4" w:rsidRDefault="009E72F4" w:rsidP="00584325">
      <w:pPr>
        <w:widowControl/>
        <w:numPr>
          <w:ilvl w:val="0"/>
          <w:numId w:val="20"/>
        </w:numPr>
        <w:adjustRightInd w:val="0"/>
        <w:snapToGrid w:val="0"/>
        <w:spacing w:before="120" w:after="120" w:line="276" w:lineRule="auto"/>
        <w:ind w:right="72"/>
        <w:contextualSpacing/>
        <w:jc w:val="left"/>
        <w:rPr>
          <w:rFonts w:ascii="Times New Roman" w:eastAsia="DengXian" w:hAnsi="Times New Roman" w:cs="Times New Roman"/>
          <w:b/>
          <w:bCs/>
          <w:color w:val="000000"/>
          <w:kern w:val="0"/>
          <w:sz w:val="24"/>
          <w:szCs w:val="24"/>
          <w:lang w:eastAsia="en-US"/>
        </w:rPr>
      </w:pPr>
      <w:r w:rsidRPr="009E72F4">
        <w:rPr>
          <w:rFonts w:ascii="Times New Roman" w:eastAsia="DengXian" w:hAnsi="Times New Roman" w:cs="Times New Roman"/>
          <w:b/>
          <w:bCs/>
          <w:color w:val="000000"/>
          <w:kern w:val="0"/>
          <w:sz w:val="24"/>
          <w:szCs w:val="24"/>
          <w:lang w:eastAsia="en-US"/>
        </w:rPr>
        <w:t>What</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is</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the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procedure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of</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registration</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and</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incorporation</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of</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foreign-owned companies?</w:t>
      </w:r>
      <w:r w:rsidRPr="009E72F4">
        <w:rPr>
          <w:rFonts w:ascii="Times New Roman" w:eastAsia="DengXian" w:hAnsi="Times New Roman" w:cs="Times New Roman"/>
          <w:b/>
          <w:bCs/>
          <w:color w:val="000000"/>
          <w:kern w:val="0"/>
          <w:sz w:val="24"/>
          <w:szCs w:val="24"/>
          <w:lang w:val="vi-VN" w:eastAsia="en-US"/>
        </w:rPr>
        <w:t xml:space="preserve"> </w:t>
      </w:r>
    </w:p>
    <w:p w14:paraId="65FC1343" w14:textId="77777777" w:rsidR="009E72F4" w:rsidRPr="009E72F4" w:rsidRDefault="009E72F4" w:rsidP="00584325">
      <w:pPr>
        <w:adjustRightInd w:val="0"/>
        <w:snapToGrid w:val="0"/>
        <w:spacing w:before="120" w:after="120" w:line="276" w:lineRule="auto"/>
        <w:ind w:right="72"/>
        <w:rPr>
          <w:rFonts w:ascii="Times New Roman" w:eastAsia="DengXian" w:hAnsi="Times New Roman" w:cs="Times New Roman"/>
          <w:b/>
          <w:bCs/>
          <w:color w:val="000000"/>
          <w:kern w:val="0"/>
          <w:sz w:val="24"/>
          <w:szCs w:val="24"/>
          <w:lang w:val="en-GB"/>
        </w:rPr>
      </w:pPr>
    </w:p>
    <w:p w14:paraId="127BD2C0" w14:textId="1114D7BB" w:rsidR="009E72F4" w:rsidRPr="009E72F4" w:rsidRDefault="009E72F4" w:rsidP="00584325">
      <w:pPr>
        <w:adjustRightInd w:val="0"/>
        <w:snapToGrid w:val="0"/>
        <w:spacing w:before="120" w:after="120" w:line="276" w:lineRule="auto"/>
        <w:ind w:left="360" w:right="72"/>
        <w:rPr>
          <w:rFonts w:ascii="Times New Roman" w:eastAsia="DengXian" w:hAnsi="Times New Roman" w:cs="Times New Roman"/>
          <w:color w:val="000000"/>
          <w:kern w:val="0"/>
          <w:sz w:val="24"/>
          <w:szCs w:val="24"/>
          <w:lang w:val="en-GB" w:eastAsia="en-US"/>
        </w:rPr>
      </w:pPr>
      <w:r w:rsidRPr="009E72F4">
        <w:rPr>
          <w:rFonts w:ascii="Times New Roman" w:eastAsia="DengXian" w:hAnsi="Times New Roman" w:cs="Times New Roman"/>
          <w:color w:val="000000"/>
          <w:kern w:val="0"/>
          <w:sz w:val="24"/>
          <w:szCs w:val="24"/>
          <w:lang w:val="en-GB" w:eastAsia="en-US"/>
        </w:rPr>
        <w:t>As explained in answer to Question #2, the procedures are for the investor to first obtain the investment approval (</w:t>
      </w:r>
      <w:r w:rsidRPr="009E72F4">
        <w:rPr>
          <w:rFonts w:ascii="Times New Roman" w:eastAsia="DengXian" w:hAnsi="Times New Roman" w:cs="Times New Roman" w:hint="eastAsia"/>
          <w:color w:val="000000"/>
          <w:kern w:val="0"/>
          <w:sz w:val="24"/>
          <w:szCs w:val="24"/>
          <w:lang w:val="en-GB"/>
        </w:rPr>
        <w:t>IPA</w:t>
      </w:r>
      <w:r w:rsidRPr="009E72F4">
        <w:rPr>
          <w:rFonts w:ascii="Times New Roman" w:eastAsia="DengXian" w:hAnsi="Times New Roman" w:cs="Times New Roman"/>
          <w:color w:val="000000"/>
          <w:kern w:val="0"/>
          <w:sz w:val="24"/>
          <w:szCs w:val="24"/>
          <w:lang w:val="en-GB"/>
        </w:rPr>
        <w:t xml:space="preserve"> </w:t>
      </w:r>
      <w:r w:rsidRPr="009E72F4">
        <w:rPr>
          <w:rFonts w:ascii="Times New Roman" w:eastAsia="DengXian" w:hAnsi="Times New Roman" w:cs="Times New Roman" w:hint="eastAsia"/>
          <w:color w:val="000000"/>
          <w:kern w:val="0"/>
          <w:sz w:val="24"/>
          <w:szCs w:val="24"/>
          <w:lang w:val="en-GB"/>
        </w:rPr>
        <w:t>and</w:t>
      </w:r>
      <w:r w:rsidRPr="009E72F4">
        <w:rPr>
          <w:rFonts w:ascii="Times New Roman" w:eastAsia="DengXian" w:hAnsi="Times New Roman" w:cs="Times New Roman"/>
          <w:color w:val="000000"/>
          <w:kern w:val="0"/>
          <w:sz w:val="24"/>
          <w:szCs w:val="24"/>
          <w:lang w:val="en-GB"/>
        </w:rPr>
        <w:t xml:space="preserve"> </w:t>
      </w:r>
      <w:r w:rsidRPr="009E72F4">
        <w:rPr>
          <w:rFonts w:ascii="Times New Roman" w:eastAsia="DengXian" w:hAnsi="Times New Roman" w:cs="Times New Roman"/>
          <w:color w:val="000000"/>
          <w:kern w:val="0"/>
          <w:sz w:val="24"/>
          <w:szCs w:val="24"/>
          <w:lang w:val="en-GB" w:eastAsia="en-US"/>
        </w:rPr>
        <w:t>the IRC) under the LOI from the relevant government authority, and then subsequently registers and receives the ERC (enterprise registration certificate).</w:t>
      </w:r>
    </w:p>
    <w:p w14:paraId="3D21D0F3" w14:textId="77777777" w:rsidR="009E72F4" w:rsidRPr="009E72F4" w:rsidRDefault="009E72F4" w:rsidP="00584325">
      <w:pPr>
        <w:adjustRightInd w:val="0"/>
        <w:snapToGrid w:val="0"/>
        <w:spacing w:before="120" w:after="120" w:line="276" w:lineRule="auto"/>
        <w:ind w:left="720" w:right="72"/>
        <w:contextualSpacing/>
        <w:rPr>
          <w:rFonts w:ascii="Times New Roman" w:eastAsia="DengXian" w:hAnsi="Times New Roman" w:cs="Times New Roman"/>
          <w:color w:val="000000"/>
          <w:kern w:val="0"/>
          <w:sz w:val="24"/>
          <w:szCs w:val="24"/>
        </w:rPr>
      </w:pPr>
    </w:p>
    <w:p w14:paraId="5559C7FA" w14:textId="77777777" w:rsidR="009E72F4" w:rsidRPr="009E72F4" w:rsidRDefault="009E72F4" w:rsidP="00584325">
      <w:pPr>
        <w:widowControl/>
        <w:numPr>
          <w:ilvl w:val="0"/>
          <w:numId w:val="20"/>
        </w:numPr>
        <w:adjustRightInd w:val="0"/>
        <w:snapToGrid w:val="0"/>
        <w:spacing w:before="120" w:after="120" w:line="276" w:lineRule="auto"/>
        <w:ind w:right="72"/>
        <w:contextualSpacing/>
        <w:jc w:val="left"/>
        <w:rPr>
          <w:rFonts w:ascii="Times New Roman" w:eastAsia="DengXian" w:hAnsi="Times New Roman" w:cs="Times New Roman"/>
          <w:b/>
          <w:bCs/>
          <w:color w:val="000000"/>
          <w:kern w:val="0"/>
          <w:sz w:val="24"/>
          <w:szCs w:val="24"/>
          <w:lang w:eastAsia="en-US"/>
        </w:rPr>
      </w:pPr>
      <w:r w:rsidRPr="009E72F4">
        <w:rPr>
          <w:rFonts w:ascii="Times New Roman" w:eastAsia="DengXian" w:hAnsi="Times New Roman" w:cs="Times New Roman"/>
          <w:b/>
          <w:bCs/>
          <w:color w:val="000000"/>
          <w:kern w:val="0"/>
          <w:sz w:val="24"/>
          <w:szCs w:val="24"/>
          <w:lang w:eastAsia="en-US"/>
        </w:rPr>
        <w:t>What are the documents and materials that the foreign investors need to prepare for that purpose? Is notarization or certification required?</w:t>
      </w:r>
    </w:p>
    <w:p w14:paraId="3AC93C24" w14:textId="77777777" w:rsidR="009E72F4" w:rsidRPr="009E72F4" w:rsidRDefault="009E72F4" w:rsidP="00584325">
      <w:pPr>
        <w:widowControl/>
        <w:spacing w:before="120" w:after="120" w:line="276" w:lineRule="auto"/>
        <w:jc w:val="left"/>
        <w:rPr>
          <w:rFonts w:ascii="Times New Roman" w:eastAsia="DengXian" w:hAnsi="Times New Roman" w:cs="Times New Roman"/>
          <w:kern w:val="0"/>
          <w:sz w:val="24"/>
          <w:szCs w:val="24"/>
          <w:lang w:val="en-GB"/>
        </w:rPr>
      </w:pPr>
    </w:p>
    <w:p w14:paraId="55150F69" w14:textId="536F87BD" w:rsidR="009E72F4" w:rsidRDefault="009E72F4" w:rsidP="00584325">
      <w:pPr>
        <w:adjustRightInd w:val="0"/>
        <w:snapToGrid w:val="0"/>
        <w:spacing w:before="120" w:after="120" w:line="276" w:lineRule="auto"/>
        <w:ind w:left="720" w:right="72"/>
        <w:contextualSpacing/>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val="vi-VN" w:eastAsia="en-US"/>
        </w:rPr>
        <w:t>Depending on e</w:t>
      </w:r>
      <w:r w:rsidRPr="009E72F4">
        <w:rPr>
          <w:rFonts w:ascii="Times New Roman" w:eastAsia="DengXian" w:hAnsi="Times New Roman" w:cs="Times New Roman"/>
          <w:color w:val="000000"/>
          <w:kern w:val="0"/>
          <w:sz w:val="24"/>
          <w:szCs w:val="24"/>
          <w:lang w:eastAsia="en-US"/>
        </w:rPr>
        <w:t>ach form of investment’s procedures that the laws shall stipulate different documents. Normally, other than forms</w:t>
      </w:r>
      <w:r w:rsidRPr="009E72F4">
        <w:rPr>
          <w:rFonts w:ascii="Times New Roman" w:eastAsia="DengXian" w:hAnsi="Times New Roman" w:cs="Times New Roman"/>
          <w:color w:val="000000"/>
          <w:kern w:val="0"/>
          <w:sz w:val="24"/>
          <w:szCs w:val="24"/>
          <w:lang w:val="vi-VN" w:eastAsia="en-US"/>
        </w:rPr>
        <w:t xml:space="preserve"> as pr</w:t>
      </w:r>
      <w:r w:rsidRPr="009E72F4">
        <w:rPr>
          <w:rFonts w:ascii="Times New Roman" w:eastAsia="DengXian" w:hAnsi="Times New Roman" w:cs="Times New Roman"/>
          <w:color w:val="000000"/>
          <w:kern w:val="0"/>
          <w:sz w:val="24"/>
          <w:szCs w:val="24"/>
          <w:lang w:eastAsia="en-US"/>
        </w:rPr>
        <w:t>es</w:t>
      </w:r>
      <w:r w:rsidRPr="009E72F4">
        <w:rPr>
          <w:rFonts w:ascii="Times New Roman" w:eastAsia="DengXian" w:hAnsi="Times New Roman" w:cs="Times New Roman"/>
          <w:color w:val="000000"/>
          <w:kern w:val="0"/>
          <w:sz w:val="24"/>
          <w:szCs w:val="24"/>
          <w:lang w:val="vi-VN" w:eastAsia="en-US"/>
        </w:rPr>
        <w:t>crib</w:t>
      </w:r>
      <w:r w:rsidRPr="009E72F4">
        <w:rPr>
          <w:rFonts w:ascii="Times New Roman" w:eastAsia="DengXian" w:hAnsi="Times New Roman" w:cs="Times New Roman"/>
          <w:color w:val="000000"/>
          <w:kern w:val="0"/>
          <w:sz w:val="24"/>
          <w:szCs w:val="24"/>
          <w:lang w:eastAsia="en-US"/>
        </w:rPr>
        <w:t>ed by the laws, foreign investors have to provide documents including:</w:t>
      </w:r>
    </w:p>
    <w:p w14:paraId="78B74475" w14:textId="77777777" w:rsidR="009E72F4" w:rsidRPr="009E72F4" w:rsidRDefault="009E72F4" w:rsidP="00584325">
      <w:pPr>
        <w:adjustRightInd w:val="0"/>
        <w:snapToGrid w:val="0"/>
        <w:spacing w:before="120" w:after="120" w:line="276" w:lineRule="auto"/>
        <w:ind w:left="720" w:right="72"/>
        <w:contextualSpacing/>
        <w:rPr>
          <w:rFonts w:ascii="Times New Roman" w:eastAsia="DengXian" w:hAnsi="Times New Roman" w:cs="Times New Roman"/>
          <w:color w:val="000000"/>
          <w:kern w:val="0"/>
          <w:sz w:val="24"/>
          <w:szCs w:val="24"/>
          <w:lang w:eastAsia="en-US"/>
        </w:rPr>
      </w:pPr>
    </w:p>
    <w:p w14:paraId="413F6FD3" w14:textId="77777777" w:rsidR="009E72F4" w:rsidRPr="009E72F4" w:rsidRDefault="009E72F4" w:rsidP="00584325">
      <w:pPr>
        <w:widowControl/>
        <w:numPr>
          <w:ilvl w:val="0"/>
          <w:numId w:val="2"/>
        </w:numPr>
        <w:adjustRightInd w:val="0"/>
        <w:snapToGrid w:val="0"/>
        <w:spacing w:before="120" w:after="120" w:line="276" w:lineRule="auto"/>
        <w:ind w:left="1800" w:right="72"/>
        <w:contextualSpacing/>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A document about the legal status of the investor(s); the legal representative of the company that the foreign investor intends to establish in Vietnam;</w:t>
      </w:r>
    </w:p>
    <w:p w14:paraId="39B1D65B" w14:textId="4FBE2F88" w:rsidR="009E72F4" w:rsidRPr="009E72F4" w:rsidRDefault="009E72F4" w:rsidP="00584325">
      <w:pPr>
        <w:adjustRightInd w:val="0"/>
        <w:snapToGrid w:val="0"/>
        <w:spacing w:before="120" w:after="120" w:line="276" w:lineRule="auto"/>
        <w:ind w:left="1800" w:right="72"/>
        <w:contextualSpacing/>
        <w:rPr>
          <w:rFonts w:ascii="Times New Roman" w:eastAsia="DengXian" w:hAnsi="Times New Roman" w:cs="Times New Roman"/>
          <w:color w:val="000000"/>
          <w:kern w:val="0"/>
          <w:sz w:val="24"/>
          <w:szCs w:val="24"/>
        </w:rPr>
      </w:pPr>
    </w:p>
    <w:p w14:paraId="76793FB1" w14:textId="77777777" w:rsidR="009E72F4" w:rsidRPr="009E72F4" w:rsidRDefault="009E72F4" w:rsidP="00584325">
      <w:pPr>
        <w:widowControl/>
        <w:numPr>
          <w:ilvl w:val="0"/>
          <w:numId w:val="2"/>
        </w:numPr>
        <w:adjustRightInd w:val="0"/>
        <w:snapToGrid w:val="0"/>
        <w:spacing w:before="120" w:after="120" w:line="276" w:lineRule="auto"/>
        <w:ind w:left="1800" w:right="72"/>
        <w:contextualSpacing/>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Document(s) providing the financial capacity and experience of the investor(s);</w:t>
      </w:r>
    </w:p>
    <w:p w14:paraId="248D52F4" w14:textId="7E3512EC" w:rsidR="009E72F4" w:rsidRPr="009E72F4" w:rsidRDefault="009E72F4" w:rsidP="00584325">
      <w:pPr>
        <w:adjustRightInd w:val="0"/>
        <w:snapToGrid w:val="0"/>
        <w:spacing w:before="120" w:after="120" w:line="276" w:lineRule="auto"/>
        <w:ind w:left="1800" w:right="72"/>
        <w:contextualSpacing/>
        <w:rPr>
          <w:rFonts w:ascii="Times New Roman" w:eastAsia="DengXian" w:hAnsi="Times New Roman" w:cs="Times New Roman"/>
          <w:color w:val="000000"/>
          <w:kern w:val="0"/>
          <w:sz w:val="24"/>
          <w:szCs w:val="24"/>
        </w:rPr>
      </w:pPr>
    </w:p>
    <w:p w14:paraId="5CB4129C" w14:textId="77777777" w:rsidR="009E72F4" w:rsidRPr="009E72F4" w:rsidRDefault="009E72F4" w:rsidP="00584325">
      <w:pPr>
        <w:widowControl/>
        <w:numPr>
          <w:ilvl w:val="0"/>
          <w:numId w:val="2"/>
        </w:numPr>
        <w:adjustRightInd w:val="0"/>
        <w:snapToGrid w:val="0"/>
        <w:spacing w:before="120" w:after="120" w:line="276" w:lineRule="auto"/>
        <w:ind w:left="1800" w:right="72"/>
        <w:contextualSpacing/>
        <w:jc w:val="left"/>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Document(s) providing the project address and other relevant documents in accordance with the regulations of law.</w:t>
      </w:r>
    </w:p>
    <w:p w14:paraId="033ADED1" w14:textId="5BF625D6" w:rsidR="009E72F4" w:rsidRPr="009E72F4" w:rsidRDefault="009E72F4" w:rsidP="00584325">
      <w:pPr>
        <w:adjustRightInd w:val="0"/>
        <w:snapToGrid w:val="0"/>
        <w:spacing w:before="120" w:after="120" w:line="276" w:lineRule="auto"/>
        <w:ind w:left="1800" w:right="72"/>
        <w:contextualSpacing/>
        <w:rPr>
          <w:rFonts w:ascii="Times New Roman" w:eastAsia="DengXian" w:hAnsi="Times New Roman" w:cs="Times New Roman"/>
          <w:color w:val="000000"/>
          <w:kern w:val="0"/>
          <w:sz w:val="24"/>
          <w:szCs w:val="24"/>
        </w:rPr>
      </w:pPr>
    </w:p>
    <w:p w14:paraId="048299DF" w14:textId="77777777" w:rsidR="009E72F4" w:rsidRPr="009E72F4" w:rsidRDefault="009E72F4" w:rsidP="00584325">
      <w:pPr>
        <w:adjustRightInd w:val="0"/>
        <w:snapToGrid w:val="0"/>
        <w:spacing w:before="120" w:after="120" w:line="276" w:lineRule="auto"/>
        <w:ind w:left="720" w:right="72"/>
        <w:contextualSpacing/>
        <w:rPr>
          <w:rFonts w:ascii="Times New Roman" w:eastAsia="DengXian" w:hAnsi="Times New Roman" w:cs="Times New Roman"/>
          <w:color w:val="000000"/>
          <w:kern w:val="0"/>
          <w:sz w:val="24"/>
          <w:szCs w:val="24"/>
          <w:lang w:eastAsia="en-US"/>
        </w:rPr>
      </w:pPr>
      <w:r w:rsidRPr="009E72F4">
        <w:rPr>
          <w:rFonts w:ascii="Times New Roman" w:eastAsia="DengXian" w:hAnsi="Times New Roman" w:cs="Times New Roman"/>
          <w:color w:val="000000"/>
          <w:kern w:val="0"/>
          <w:sz w:val="24"/>
          <w:szCs w:val="24"/>
          <w:lang w:eastAsia="en-US"/>
        </w:rPr>
        <w:t>All document(s) relating to foreign investors need to be legalized to be valid in Vietnam.</w:t>
      </w:r>
    </w:p>
    <w:p w14:paraId="71747852" w14:textId="77777777" w:rsidR="009E72F4" w:rsidRPr="009E72F4" w:rsidRDefault="009E72F4" w:rsidP="00584325">
      <w:pPr>
        <w:adjustRightInd w:val="0"/>
        <w:snapToGrid w:val="0"/>
        <w:spacing w:before="120" w:after="120" w:line="276" w:lineRule="auto"/>
        <w:ind w:left="720" w:right="72"/>
        <w:contextualSpacing/>
        <w:rPr>
          <w:rFonts w:ascii="Times New Roman" w:eastAsia="DengXian" w:hAnsi="Times New Roman" w:cs="Times New Roman"/>
          <w:color w:val="000000"/>
          <w:kern w:val="0"/>
          <w:sz w:val="24"/>
          <w:szCs w:val="24"/>
          <w:lang w:val="vi-VN"/>
        </w:rPr>
      </w:pPr>
    </w:p>
    <w:p w14:paraId="1C38D97D" w14:textId="5FD1FEF2" w:rsidR="009E72F4" w:rsidRPr="009E72F4" w:rsidRDefault="009E72F4" w:rsidP="00584325">
      <w:pPr>
        <w:widowControl/>
        <w:numPr>
          <w:ilvl w:val="0"/>
          <w:numId w:val="20"/>
        </w:numPr>
        <w:adjustRightInd w:val="0"/>
        <w:snapToGrid w:val="0"/>
        <w:spacing w:before="120" w:after="120" w:line="276" w:lineRule="auto"/>
        <w:ind w:right="72"/>
        <w:jc w:val="left"/>
        <w:rPr>
          <w:rFonts w:ascii="Times New Roman" w:eastAsia="DengXian" w:hAnsi="Times New Roman" w:cs="Times New Roman"/>
          <w:b/>
          <w:bCs/>
          <w:color w:val="000000"/>
          <w:kern w:val="0"/>
          <w:sz w:val="24"/>
          <w:szCs w:val="24"/>
          <w:lang w:eastAsia="en-US"/>
        </w:rPr>
      </w:pPr>
      <w:r w:rsidRPr="009E72F4">
        <w:rPr>
          <w:rFonts w:ascii="Times New Roman" w:eastAsia="DengXian" w:hAnsi="Times New Roman" w:cs="Times New Roman"/>
          <w:b/>
          <w:bCs/>
          <w:color w:val="000000"/>
          <w:kern w:val="0"/>
          <w:sz w:val="24"/>
          <w:szCs w:val="24"/>
          <w:lang w:eastAsia="en-US"/>
        </w:rPr>
        <w:t>How</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long</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does</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it</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normally</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take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to</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complete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the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entire</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registration</w:t>
      </w:r>
      <w:r>
        <w:rPr>
          <w:rFonts w:ascii="Times New Roman" w:eastAsia="DengXian" w:hAnsi="Times New Roman" w:cs="Times New Roman"/>
          <w:b/>
          <w:bCs/>
          <w:color w:val="000000"/>
          <w:kern w:val="0"/>
          <w:sz w:val="24"/>
          <w:szCs w:val="24"/>
          <w:lang w:eastAsia="en-US"/>
        </w:rPr>
        <w:t xml:space="preserve"> </w:t>
      </w:r>
      <w:r w:rsidRPr="009E72F4">
        <w:rPr>
          <w:rFonts w:ascii="Times New Roman" w:eastAsia="DengXian" w:hAnsi="Times New Roman" w:cs="Times New Roman"/>
          <w:b/>
          <w:bCs/>
          <w:color w:val="000000"/>
          <w:kern w:val="0"/>
          <w:sz w:val="24"/>
          <w:szCs w:val="24"/>
          <w:lang w:eastAsia="en-US"/>
        </w:rPr>
        <w:t>and incorporation process?</w:t>
      </w:r>
    </w:p>
    <w:p w14:paraId="2BA200A6" w14:textId="77777777" w:rsidR="009E72F4" w:rsidRPr="009E72F4" w:rsidRDefault="009E72F4" w:rsidP="00584325">
      <w:pPr>
        <w:adjustRightInd w:val="0"/>
        <w:snapToGrid w:val="0"/>
        <w:spacing w:before="120" w:after="120" w:line="276" w:lineRule="auto"/>
        <w:ind w:left="720" w:right="72"/>
        <w:rPr>
          <w:rFonts w:ascii="Times New Roman" w:eastAsia="DengXian" w:hAnsi="Times New Roman" w:cs="Times New Roman"/>
          <w:b/>
          <w:bCs/>
          <w:color w:val="000000"/>
          <w:kern w:val="0"/>
          <w:sz w:val="24"/>
          <w:szCs w:val="24"/>
        </w:rPr>
      </w:pPr>
    </w:p>
    <w:p w14:paraId="00FFBB7F" w14:textId="61C5BFCA" w:rsidR="009E72F4" w:rsidRDefault="009E72F4" w:rsidP="00584325">
      <w:pPr>
        <w:widowControl/>
        <w:spacing w:before="120" w:after="120" w:line="276" w:lineRule="auto"/>
        <w:ind w:left="720"/>
        <w:rPr>
          <w:rFonts w:ascii="Times New Roman" w:eastAsia="Times New Roman" w:hAnsi="Times New Roman" w:cs="Times New Roman"/>
          <w:color w:val="000000"/>
          <w:kern w:val="0"/>
          <w:sz w:val="24"/>
          <w:szCs w:val="24"/>
          <w:lang w:val="en-GB" w:eastAsia="en-US"/>
        </w:rPr>
      </w:pPr>
      <w:r w:rsidRPr="009E72F4">
        <w:rPr>
          <w:rFonts w:ascii="Times New Roman" w:eastAsia="Times New Roman" w:hAnsi="Times New Roman" w:cs="Times New Roman"/>
          <w:color w:val="000000"/>
          <w:kern w:val="0"/>
          <w:sz w:val="24"/>
          <w:szCs w:val="24"/>
          <w:lang w:val="en-GB" w:eastAsia="en-US"/>
        </w:rPr>
        <w:t>In case the investment project</w:t>
      </w:r>
      <w:r w:rsidRPr="009E72F4">
        <w:rPr>
          <w:rFonts w:ascii="Times New Roman" w:eastAsia="Times New Roman" w:hAnsi="Times New Roman" w:cs="Times New Roman"/>
          <w:color w:val="000000"/>
          <w:kern w:val="0"/>
          <w:sz w:val="24"/>
          <w:szCs w:val="24"/>
          <w:lang w:eastAsia="en-US"/>
        </w:rPr>
        <w:t xml:space="preserve"> does not</w:t>
      </w:r>
      <w:r w:rsidRPr="009E72F4">
        <w:rPr>
          <w:rFonts w:ascii="Times New Roman" w:eastAsia="Times New Roman" w:hAnsi="Times New Roman" w:cs="Times New Roman"/>
          <w:color w:val="000000"/>
          <w:kern w:val="0"/>
          <w:sz w:val="24"/>
          <w:szCs w:val="24"/>
          <w:lang w:val="en-GB" w:eastAsia="en-US"/>
        </w:rPr>
        <w:t xml:space="preserve"> require investment approval, </w:t>
      </w:r>
      <w:r w:rsidRPr="009E72F4">
        <w:rPr>
          <w:rFonts w:ascii="Times New Roman" w:eastAsia="Times New Roman" w:hAnsi="Times New Roman" w:cs="Times New Roman"/>
          <w:color w:val="000000"/>
          <w:kern w:val="0"/>
          <w:sz w:val="24"/>
          <w:szCs w:val="24"/>
          <w:lang w:eastAsia="en-US"/>
        </w:rPr>
        <w:t>t</w:t>
      </w:r>
      <w:r w:rsidRPr="009E72F4">
        <w:rPr>
          <w:rFonts w:ascii="Times New Roman" w:eastAsia="Times New Roman" w:hAnsi="Times New Roman" w:cs="Times New Roman"/>
          <w:color w:val="000000"/>
          <w:kern w:val="0"/>
          <w:sz w:val="24"/>
          <w:szCs w:val="24"/>
          <w:lang w:val="en-GB" w:eastAsia="en-US"/>
        </w:rPr>
        <w:t>he procedures for the establishment of the foreign-owned company in Vietnam shall comprise 2 steps:</w:t>
      </w:r>
    </w:p>
    <w:p w14:paraId="7A5B84EB" w14:textId="77777777" w:rsidR="009E72F4" w:rsidRPr="009E72F4" w:rsidRDefault="009E72F4" w:rsidP="00584325">
      <w:pPr>
        <w:widowControl/>
        <w:spacing w:before="120" w:after="120" w:line="276" w:lineRule="auto"/>
        <w:ind w:left="720"/>
        <w:rPr>
          <w:rFonts w:ascii="Times New Roman" w:eastAsia="Times New Roman" w:hAnsi="Times New Roman" w:cs="Times New Roman"/>
          <w:color w:val="000000"/>
          <w:kern w:val="0"/>
          <w:sz w:val="24"/>
          <w:szCs w:val="24"/>
          <w:lang w:val="en-GB" w:eastAsia="en-US"/>
        </w:rPr>
      </w:pPr>
    </w:p>
    <w:p w14:paraId="469976F5" w14:textId="240711BA" w:rsidR="009E72F4" w:rsidRDefault="009E72F4" w:rsidP="00584325">
      <w:pPr>
        <w:widowControl/>
        <w:numPr>
          <w:ilvl w:val="0"/>
          <w:numId w:val="24"/>
        </w:numPr>
        <w:spacing w:before="120" w:after="120" w:line="276" w:lineRule="auto"/>
        <w:jc w:val="left"/>
        <w:rPr>
          <w:rFonts w:ascii="Times New Roman" w:eastAsia="Times New Roman" w:hAnsi="Times New Roman" w:cs="Times New Roman"/>
          <w:color w:val="000000"/>
          <w:kern w:val="0"/>
          <w:sz w:val="24"/>
          <w:szCs w:val="24"/>
          <w:lang w:val="en-GB" w:eastAsia="en-US"/>
        </w:rPr>
      </w:pPr>
      <w:r w:rsidRPr="009E72F4">
        <w:rPr>
          <w:rFonts w:ascii="Times New Roman" w:eastAsia="Times New Roman" w:hAnsi="Times New Roman" w:cs="Times New Roman"/>
          <w:color w:val="000000"/>
          <w:kern w:val="0"/>
          <w:sz w:val="24"/>
          <w:szCs w:val="24"/>
          <w:lang w:val="en-GB" w:eastAsia="en-US"/>
        </w:rPr>
        <w:t xml:space="preserve">Step 1: Application for the Investment Registration Certificate for the investor with the expected time of </w:t>
      </w:r>
      <w:r w:rsidRPr="009E72F4">
        <w:rPr>
          <w:rFonts w:ascii="Times New Roman" w:eastAsia="Times New Roman" w:hAnsi="Times New Roman" w:cs="Times New Roman"/>
          <w:color w:val="000000"/>
          <w:kern w:val="0"/>
          <w:sz w:val="24"/>
          <w:szCs w:val="24"/>
          <w:lang w:eastAsia="en-US"/>
        </w:rPr>
        <w:t>15</w:t>
      </w:r>
      <w:r w:rsidRPr="009E72F4">
        <w:rPr>
          <w:rFonts w:ascii="Times New Roman" w:eastAsia="Times New Roman" w:hAnsi="Times New Roman" w:cs="Times New Roman"/>
          <w:color w:val="000000"/>
          <w:kern w:val="0"/>
          <w:sz w:val="24"/>
          <w:szCs w:val="24"/>
          <w:lang w:val="en-GB" w:eastAsia="en-US"/>
        </w:rPr>
        <w:t xml:space="preserve"> working days; and</w:t>
      </w:r>
    </w:p>
    <w:p w14:paraId="3E3FC4D8" w14:textId="77777777" w:rsidR="009E72F4" w:rsidRPr="009E72F4" w:rsidRDefault="009E72F4" w:rsidP="00584325">
      <w:pPr>
        <w:widowControl/>
        <w:spacing w:before="120" w:after="120" w:line="276" w:lineRule="auto"/>
        <w:ind w:left="1440"/>
        <w:jc w:val="left"/>
        <w:rPr>
          <w:rFonts w:ascii="Times New Roman" w:eastAsia="Times New Roman" w:hAnsi="Times New Roman" w:cs="Times New Roman"/>
          <w:color w:val="000000"/>
          <w:kern w:val="0"/>
          <w:sz w:val="24"/>
          <w:szCs w:val="24"/>
          <w:lang w:val="en-GB" w:eastAsia="en-US"/>
        </w:rPr>
      </w:pPr>
    </w:p>
    <w:p w14:paraId="1D2CDA81" w14:textId="77777777" w:rsidR="009E72F4" w:rsidRPr="009E72F4" w:rsidRDefault="009E72F4" w:rsidP="00584325">
      <w:pPr>
        <w:widowControl/>
        <w:numPr>
          <w:ilvl w:val="0"/>
          <w:numId w:val="24"/>
        </w:numPr>
        <w:spacing w:before="120" w:after="120" w:line="276" w:lineRule="auto"/>
        <w:jc w:val="left"/>
        <w:rPr>
          <w:rFonts w:ascii="Times New Roman" w:eastAsia="Times New Roman" w:hAnsi="Times New Roman" w:cs="Times New Roman"/>
          <w:color w:val="000000"/>
          <w:kern w:val="0"/>
          <w:sz w:val="24"/>
          <w:szCs w:val="24"/>
          <w:lang w:val="en-GB" w:eastAsia="en-US"/>
        </w:rPr>
      </w:pPr>
      <w:r w:rsidRPr="009E72F4">
        <w:rPr>
          <w:rFonts w:ascii="Times New Roman" w:eastAsia="Times New Roman" w:hAnsi="Times New Roman" w:cs="Times New Roman"/>
          <w:color w:val="000000"/>
          <w:kern w:val="0"/>
          <w:sz w:val="24"/>
          <w:szCs w:val="24"/>
          <w:lang w:val="en-GB" w:eastAsia="en-US"/>
        </w:rPr>
        <w:t xml:space="preserve">Step 2: Application for the Enterprise Registration Certificate for the investor with the expected time of </w:t>
      </w:r>
      <w:r w:rsidRPr="009E72F4">
        <w:rPr>
          <w:rFonts w:ascii="Times New Roman" w:eastAsia="Times New Roman" w:hAnsi="Times New Roman" w:cs="Times New Roman"/>
          <w:color w:val="000000"/>
          <w:kern w:val="0"/>
          <w:sz w:val="24"/>
          <w:szCs w:val="24"/>
          <w:lang w:eastAsia="en-US"/>
        </w:rPr>
        <w:t>03</w:t>
      </w:r>
      <w:r w:rsidRPr="009E72F4">
        <w:rPr>
          <w:rFonts w:ascii="Times New Roman" w:eastAsia="Times New Roman" w:hAnsi="Times New Roman" w:cs="Times New Roman"/>
          <w:color w:val="000000"/>
          <w:kern w:val="0"/>
          <w:sz w:val="24"/>
          <w:szCs w:val="24"/>
          <w:lang w:val="en-GB" w:eastAsia="en-US"/>
        </w:rPr>
        <w:t xml:space="preserve"> working days.</w:t>
      </w:r>
    </w:p>
    <w:p w14:paraId="63ED5811" w14:textId="77777777" w:rsidR="009E72F4" w:rsidRPr="009E72F4" w:rsidRDefault="009E72F4" w:rsidP="00584325">
      <w:pPr>
        <w:widowControl/>
        <w:spacing w:before="120" w:after="120" w:line="276" w:lineRule="auto"/>
        <w:ind w:left="720"/>
        <w:rPr>
          <w:rFonts w:ascii="Times New Roman" w:eastAsia="Times New Roman" w:hAnsi="Times New Roman" w:cs="Times New Roman"/>
          <w:color w:val="000000"/>
          <w:kern w:val="0"/>
          <w:sz w:val="24"/>
          <w:szCs w:val="24"/>
          <w:lang w:val="en-GB"/>
        </w:rPr>
      </w:pPr>
    </w:p>
    <w:p w14:paraId="23586C41" w14:textId="7E7864E6" w:rsidR="009E72F4" w:rsidRDefault="009E72F4" w:rsidP="00584325">
      <w:pPr>
        <w:widowControl/>
        <w:spacing w:before="120" w:after="120" w:line="276" w:lineRule="auto"/>
        <w:ind w:left="720"/>
        <w:rPr>
          <w:rFonts w:ascii="Times New Roman" w:eastAsia="Times New Roman" w:hAnsi="Times New Roman" w:cs="Times New Roman"/>
          <w:color w:val="000000"/>
          <w:kern w:val="0"/>
          <w:sz w:val="24"/>
          <w:szCs w:val="24"/>
          <w:lang w:val="en-GB" w:eastAsia="en-US"/>
        </w:rPr>
      </w:pPr>
      <w:r w:rsidRPr="009E72F4">
        <w:rPr>
          <w:rFonts w:ascii="Times New Roman" w:eastAsia="Times New Roman" w:hAnsi="Times New Roman" w:cs="Times New Roman"/>
          <w:color w:val="000000"/>
          <w:kern w:val="0"/>
          <w:sz w:val="24"/>
          <w:szCs w:val="24"/>
          <w:lang w:val="en-GB" w:eastAsia="en-US"/>
        </w:rPr>
        <w:lastRenderedPageBreak/>
        <w:t xml:space="preserve">The time frames above are stipulated by laws, but they may be prolonged in practice due to the </w:t>
      </w:r>
      <w:r w:rsidRPr="009E72F4">
        <w:rPr>
          <w:rFonts w:ascii="Times New Roman" w:eastAsia="Times New Roman" w:hAnsi="Times New Roman" w:cs="Times New Roman"/>
          <w:color w:val="000000"/>
          <w:kern w:val="0"/>
          <w:sz w:val="24"/>
          <w:szCs w:val="24"/>
          <w:lang w:eastAsia="en-US"/>
        </w:rPr>
        <w:t>appraisal</w:t>
      </w:r>
      <w:r w:rsidRPr="009E72F4">
        <w:rPr>
          <w:rFonts w:ascii="Times New Roman" w:eastAsia="Times New Roman" w:hAnsi="Times New Roman" w:cs="Times New Roman"/>
          <w:color w:val="000000"/>
          <w:kern w:val="0"/>
          <w:sz w:val="24"/>
          <w:szCs w:val="24"/>
          <w:lang w:val="en-GB" w:eastAsia="en-US"/>
        </w:rPr>
        <w:t xml:space="preserve"> of the competent authorities.</w:t>
      </w:r>
      <w:r>
        <w:rPr>
          <w:rFonts w:ascii="Times New Roman" w:eastAsia="Times New Roman" w:hAnsi="Times New Roman" w:cs="Times New Roman"/>
          <w:color w:val="000000"/>
          <w:kern w:val="0"/>
          <w:sz w:val="24"/>
          <w:szCs w:val="24"/>
          <w:lang w:val="en-GB" w:eastAsia="en-US"/>
        </w:rPr>
        <w:t xml:space="preserve"> </w:t>
      </w:r>
      <w:r w:rsidRPr="009E72F4">
        <w:rPr>
          <w:rFonts w:ascii="Times New Roman" w:eastAsia="Times New Roman" w:hAnsi="Times New Roman" w:cs="Times New Roman"/>
          <w:color w:val="000000"/>
          <w:kern w:val="0"/>
          <w:sz w:val="24"/>
          <w:szCs w:val="24"/>
          <w:lang w:val="en-GB" w:eastAsia="en-US"/>
        </w:rPr>
        <w:t xml:space="preserve">Different localities may have different timelines. </w:t>
      </w:r>
    </w:p>
    <w:p w14:paraId="6BC3C563" w14:textId="77777777" w:rsidR="005A6E2E" w:rsidRPr="009E72F4" w:rsidRDefault="005A6E2E" w:rsidP="00584325">
      <w:pPr>
        <w:widowControl/>
        <w:spacing w:before="120" w:after="120" w:line="276" w:lineRule="auto"/>
        <w:ind w:left="720"/>
        <w:rPr>
          <w:rFonts w:ascii="Times New Roman" w:eastAsia="Times New Roman" w:hAnsi="Times New Roman" w:cs="Times New Roman"/>
          <w:color w:val="000000"/>
          <w:kern w:val="0"/>
          <w:sz w:val="24"/>
          <w:szCs w:val="24"/>
          <w:lang w:val="en-GB" w:eastAsia="en-US"/>
        </w:rPr>
      </w:pPr>
    </w:p>
    <w:p w14:paraId="352ACE9B" w14:textId="77777777" w:rsidR="009E72F4" w:rsidRPr="00992EDB" w:rsidRDefault="009E72F4" w:rsidP="009E72F4">
      <w:pPr>
        <w:widowControl/>
        <w:jc w:val="left"/>
        <w:rPr>
          <w:rFonts w:ascii="Times New Roman" w:eastAsia="DengXian" w:hAnsi="Times New Roman" w:cs="Times New Roman"/>
          <w:b/>
          <w:bCs/>
          <w:i/>
          <w:iCs/>
          <w:kern w:val="0"/>
          <w:sz w:val="22"/>
          <w:lang w:eastAsia="en-US"/>
        </w:rPr>
      </w:pPr>
      <w:r w:rsidRPr="00992EDB">
        <w:rPr>
          <w:rFonts w:ascii="Times New Roman" w:eastAsia="DengXian" w:hAnsi="Times New Roman" w:cs="Times New Roman"/>
          <w:b/>
          <w:bCs/>
          <w:i/>
          <w:iCs/>
          <w:kern w:val="0"/>
          <w:sz w:val="22"/>
          <w:lang w:eastAsia="en-US"/>
        </w:rPr>
        <w:t>Disclaimer:</w:t>
      </w:r>
    </w:p>
    <w:p w14:paraId="5D953CF1" w14:textId="77777777" w:rsidR="009E72F4" w:rsidRPr="00992EDB" w:rsidRDefault="009E72F4" w:rsidP="009E72F4">
      <w:pPr>
        <w:widowControl/>
        <w:autoSpaceDE w:val="0"/>
        <w:autoSpaceDN w:val="0"/>
        <w:adjustRightInd w:val="0"/>
        <w:jc w:val="left"/>
        <w:rPr>
          <w:rFonts w:ascii="Times New Roman" w:eastAsia="DengXian" w:hAnsi="Times New Roman" w:cs="Times New Roman"/>
          <w:i/>
          <w:iCs/>
          <w:kern w:val="0"/>
          <w:sz w:val="22"/>
          <w:lang w:eastAsia="en-US"/>
        </w:rPr>
      </w:pPr>
    </w:p>
    <w:p w14:paraId="414FBF7E" w14:textId="2CE03E04" w:rsidR="009E72F4" w:rsidRPr="00992EDB" w:rsidRDefault="009E72F4" w:rsidP="009E72F4">
      <w:pPr>
        <w:widowControl/>
        <w:jc w:val="left"/>
        <w:rPr>
          <w:rFonts w:ascii="Times New Roman" w:eastAsia="DengXian" w:hAnsi="Times New Roman" w:cs="Times New Roman"/>
          <w:i/>
          <w:iCs/>
          <w:kern w:val="0"/>
          <w:sz w:val="22"/>
        </w:rPr>
      </w:pPr>
      <w:r w:rsidRPr="00992EDB">
        <w:rPr>
          <w:rFonts w:ascii="Times New Roman" w:eastAsia="DengXian" w:hAnsi="Times New Roman" w:cs="Times New Roman"/>
          <w:i/>
          <w:iCs/>
          <w:kern w:val="0"/>
          <w:sz w:val="22"/>
          <w:lang w:eastAsia="en-US"/>
        </w:rPr>
        <w:t xml:space="preserve">The information provided herein does not, and is not intended to, constitute legal advice; instead, all information, content, and materials are for general informational purposes only. Information in this article may not constitute the most up-to-date legal or other information. Readers of this article should contact their attorney to obtain advice with respect to any particular legal matter. All liability with respect to actions taken or not taken based on the contents of this article are hereby expressly disclaimed. The content here is provided "as </w:t>
      </w:r>
      <w:r w:rsidR="005A6E2E" w:rsidRPr="00992EDB">
        <w:rPr>
          <w:rFonts w:ascii="Times New Roman" w:eastAsia="DengXian" w:hAnsi="Times New Roman" w:cs="Times New Roman"/>
          <w:i/>
          <w:iCs/>
          <w:kern w:val="0"/>
          <w:sz w:val="22"/>
          <w:lang w:eastAsia="en-US"/>
        </w:rPr>
        <w:t>is</w:t>
      </w:r>
      <w:r w:rsidRPr="00992EDB">
        <w:rPr>
          <w:rFonts w:ascii="Times New Roman" w:eastAsia="DengXian" w:hAnsi="Times New Roman" w:cs="Times New Roman"/>
          <w:i/>
          <w:iCs/>
          <w:kern w:val="0"/>
          <w:sz w:val="22"/>
          <w:lang w:eastAsia="en-US"/>
        </w:rPr>
        <w:t>" no representations are made that the content is error-free.</w:t>
      </w:r>
    </w:p>
    <w:p w14:paraId="15A93733" w14:textId="34EAAF44" w:rsidR="00037752" w:rsidRPr="009E72F4" w:rsidRDefault="00037752" w:rsidP="00A01086">
      <w:pPr>
        <w:rPr>
          <w:sz w:val="24"/>
          <w:szCs w:val="24"/>
        </w:rPr>
      </w:pPr>
    </w:p>
    <w:sectPr w:rsidR="00037752" w:rsidRPr="009E72F4" w:rsidSect="00386BE9">
      <w:headerReference w:type="default" r:id="rId10"/>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A001" w14:textId="77777777" w:rsidR="00A00061" w:rsidRDefault="00A00061" w:rsidP="00C2589A">
      <w:r>
        <w:separator/>
      </w:r>
    </w:p>
  </w:endnote>
  <w:endnote w:type="continuationSeparator" w:id="0">
    <w:p w14:paraId="7CDCB5D6" w14:textId="77777777" w:rsidR="00A00061" w:rsidRDefault="00A00061" w:rsidP="00C2589A">
      <w:r>
        <w:continuationSeparator/>
      </w:r>
    </w:p>
  </w:endnote>
  <w:endnote w:id="1">
    <w:p w14:paraId="1EAB4218" w14:textId="4FA96A9E" w:rsidR="00A01086" w:rsidRPr="00386BE9" w:rsidRDefault="00A01086" w:rsidP="00A01086">
      <w:pPr>
        <w:pStyle w:val="a3"/>
        <w:ind w:left="425" w:firstLineChars="0" w:firstLine="0"/>
        <w:jc w:val="left"/>
        <w:rPr>
          <w:rFonts w:ascii="Times New Roman" w:hAnsi="Times New Roman" w:cs="Times New Roman"/>
          <w:b/>
          <w:i/>
          <w:iCs/>
          <w:sz w:val="22"/>
          <w:u w:val="single"/>
        </w:rPr>
      </w:pPr>
      <w:r>
        <w:rPr>
          <w:rStyle w:val="af6"/>
        </w:rPr>
        <w:endnoteRef/>
      </w:r>
      <w:r>
        <w:t xml:space="preserve"> </w:t>
      </w:r>
      <w:bookmarkStart w:id="0" w:name="_Hlk100158320"/>
      <w:r>
        <w:rPr>
          <w:rFonts w:ascii="Times New Roman" w:eastAsia="宋体" w:hAnsi="Times New Roman" w:cs="Times New Roman"/>
          <w:b/>
          <w:i/>
          <w:iCs/>
          <w:u w:val="single"/>
        </w:rPr>
        <w:t xml:space="preserve">The series on the investment and M&amp;A laws in the member countries of RCEP </w:t>
      </w:r>
      <w:r w:rsidR="00F27D07">
        <w:rPr>
          <w:rFonts w:ascii="Times New Roman" w:eastAsia="宋体" w:hAnsi="Times New Roman" w:cs="Times New Roman" w:hint="eastAsia"/>
          <w:b/>
          <w:i/>
          <w:iCs/>
          <w:u w:val="single"/>
        </w:rPr>
        <w:t>are</w:t>
      </w:r>
      <w:r>
        <w:rPr>
          <w:rFonts w:ascii="Times New Roman" w:eastAsia="宋体" w:hAnsi="Times New Roman" w:cs="Times New Roman"/>
          <w:b/>
          <w:i/>
          <w:iCs/>
          <w:u w:val="single"/>
        </w:rPr>
        <w:t xml:space="preserve"> launched by DeHeng Law Offices.</w:t>
      </w:r>
      <w:r w:rsidRPr="00A01086">
        <w:rPr>
          <w:rFonts w:ascii="Times New Roman" w:hAnsi="Times New Roman" w:cs="Times New Roman"/>
          <w:b/>
          <w:i/>
          <w:iCs/>
          <w:sz w:val="22"/>
          <w:u w:val="single"/>
        </w:rPr>
        <w:t xml:space="preserve"> </w:t>
      </w:r>
      <w:bookmarkEnd w:id="0"/>
      <w:r w:rsidRPr="00386BE9">
        <w:rPr>
          <w:rFonts w:ascii="Times New Roman" w:hAnsi="Times New Roman" w:cs="Times New Roman"/>
          <w:b/>
          <w:i/>
          <w:iCs/>
          <w:sz w:val="22"/>
          <w:u w:val="single"/>
        </w:rPr>
        <w:t xml:space="preserve">In each article of the series, a leading local law firm is invited to offer an overview of investment and M&amp;A laws in the jurisdiction. </w:t>
      </w:r>
    </w:p>
    <w:p w14:paraId="2B1359D4" w14:textId="77777777" w:rsidR="00A01086" w:rsidRPr="00386BE9" w:rsidRDefault="00A01086" w:rsidP="00A01086">
      <w:pPr>
        <w:pStyle w:val="a3"/>
        <w:ind w:left="425" w:firstLineChars="0" w:firstLine="0"/>
        <w:rPr>
          <w:rFonts w:ascii="Times New Roman" w:hAnsi="Times New Roman" w:cs="Times New Roman"/>
          <w:b/>
          <w:sz w:val="22"/>
        </w:rPr>
      </w:pPr>
    </w:p>
    <w:p w14:paraId="2069DBF4" w14:textId="77777777" w:rsidR="00A01086" w:rsidRPr="00386BE9" w:rsidRDefault="00A01086" w:rsidP="00A01086">
      <w:pPr>
        <w:pStyle w:val="a3"/>
        <w:ind w:left="425" w:firstLineChars="0" w:firstLine="0"/>
        <w:jc w:val="left"/>
        <w:rPr>
          <w:rFonts w:ascii="Times New Roman" w:eastAsia="宋体" w:hAnsi="Times New Roman" w:cs="Times New Roman"/>
          <w:b/>
          <w:bCs/>
          <w:i/>
          <w:iCs/>
          <w:sz w:val="22"/>
          <w:u w:val="single"/>
        </w:rPr>
      </w:pPr>
      <w:r w:rsidRPr="00386BE9">
        <w:rPr>
          <w:rFonts w:ascii="Times New Roman" w:eastAsia="宋体" w:hAnsi="Times New Roman" w:cs="Times New Roman"/>
          <w:b/>
          <w:bCs/>
          <w:i/>
          <w:iCs/>
          <w:sz w:val="22"/>
          <w:u w:val="single"/>
        </w:rPr>
        <w:t xml:space="preserve">The above answers are </w:t>
      </w:r>
      <w:r>
        <w:rPr>
          <w:rFonts w:ascii="Times New Roman" w:eastAsia="宋体" w:hAnsi="Times New Roman" w:cs="Times New Roman"/>
          <w:b/>
          <w:bCs/>
          <w:i/>
          <w:iCs/>
          <w:sz w:val="22"/>
          <w:u w:val="single"/>
        </w:rPr>
        <w:t>prepared by</w:t>
      </w:r>
      <w:r w:rsidRPr="00386BE9">
        <w:rPr>
          <w:rFonts w:ascii="Times New Roman" w:eastAsia="宋体" w:hAnsi="Times New Roman" w:cs="Times New Roman"/>
          <w:b/>
          <w:bCs/>
          <w:i/>
          <w:iCs/>
          <w:sz w:val="22"/>
          <w:u w:val="single"/>
        </w:rPr>
        <w:t xml:space="preserve"> </w:t>
      </w:r>
    </w:p>
    <w:p w14:paraId="1827F37D" w14:textId="5CF888C6" w:rsidR="00A01086" w:rsidRPr="009E72F4" w:rsidRDefault="009E72F4" w:rsidP="00281B3A">
      <w:pPr>
        <w:pStyle w:val="a3"/>
        <w:numPr>
          <w:ilvl w:val="0"/>
          <w:numId w:val="1"/>
        </w:numPr>
        <w:ind w:firstLineChars="0"/>
        <w:jc w:val="left"/>
        <w:rPr>
          <w:rFonts w:ascii="Times New Roman" w:eastAsia="宋体" w:hAnsi="Times New Roman" w:cs="Times New Roman"/>
          <w:b/>
          <w:bCs/>
          <w:i/>
          <w:iCs/>
          <w:sz w:val="22"/>
          <w:u w:val="single"/>
        </w:rPr>
      </w:pPr>
      <w:r w:rsidRPr="009E72F4">
        <w:rPr>
          <w:rFonts w:ascii="Times New Roman" w:eastAsia="宋体" w:hAnsi="Times New Roman" w:cs="Times New Roman"/>
          <w:b/>
          <w:bCs/>
          <w:i/>
          <w:iCs/>
          <w:sz w:val="22"/>
          <w:u w:val="single"/>
        </w:rPr>
        <w:t>John Yue</w:t>
      </w:r>
      <w:r w:rsidR="00A01086" w:rsidRPr="009E72F4">
        <w:rPr>
          <w:rFonts w:ascii="Times New Roman" w:eastAsia="宋体" w:hAnsi="Times New Roman" w:cs="Times New Roman"/>
          <w:b/>
          <w:bCs/>
          <w:i/>
          <w:iCs/>
          <w:sz w:val="22"/>
          <w:u w:val="single"/>
        </w:rPr>
        <w:t xml:space="preserve"> (</w:t>
      </w:r>
      <w:r>
        <w:rPr>
          <w:rFonts w:ascii="Times New Roman" w:eastAsia="宋体" w:hAnsi="Times New Roman" w:cs="Times New Roman" w:hint="eastAsia"/>
          <w:b/>
          <w:bCs/>
          <w:i/>
          <w:iCs/>
          <w:sz w:val="22"/>
          <w:u w:val="single"/>
        </w:rPr>
        <w:t>岳强</w:t>
      </w:r>
      <w:r w:rsidR="00A01086" w:rsidRPr="009E72F4">
        <w:rPr>
          <w:rFonts w:ascii="Times New Roman" w:eastAsia="宋体" w:hAnsi="Times New Roman" w:cs="Times New Roman"/>
          <w:b/>
          <w:bCs/>
          <w:i/>
          <w:iCs/>
          <w:sz w:val="22"/>
          <w:u w:val="single"/>
        </w:rPr>
        <w:t xml:space="preserve">), </w:t>
      </w:r>
      <w:r w:rsidRPr="009E72F4">
        <w:rPr>
          <w:rFonts w:ascii="Times New Roman" w:eastAsia="宋体" w:hAnsi="Times New Roman" w:cs="Times New Roman"/>
          <w:b/>
          <w:bCs/>
          <w:i/>
          <w:iCs/>
          <w:sz w:val="22"/>
          <w:u w:val="single"/>
        </w:rPr>
        <w:t>Associate</w:t>
      </w:r>
    </w:p>
    <w:p w14:paraId="4FB4BFB3" w14:textId="634CC2D5" w:rsidR="00A01086" w:rsidRPr="009E72F4" w:rsidRDefault="009E72F4" w:rsidP="00281B3A">
      <w:pPr>
        <w:pStyle w:val="a3"/>
        <w:numPr>
          <w:ilvl w:val="0"/>
          <w:numId w:val="1"/>
        </w:numPr>
        <w:ind w:firstLineChars="0"/>
        <w:jc w:val="left"/>
        <w:rPr>
          <w:rFonts w:ascii="Times New Roman" w:eastAsia="宋体" w:hAnsi="Times New Roman" w:cs="Times New Roman"/>
          <w:b/>
          <w:bCs/>
          <w:i/>
          <w:iCs/>
          <w:sz w:val="22"/>
          <w:u w:val="single"/>
        </w:rPr>
      </w:pPr>
      <w:r w:rsidRPr="009E72F4">
        <w:rPr>
          <w:rFonts w:ascii="Times New Roman" w:eastAsia="宋体" w:hAnsi="Times New Roman" w:cs="Times New Roman"/>
          <w:b/>
          <w:bCs/>
          <w:i/>
          <w:iCs/>
          <w:sz w:val="22"/>
          <w:u w:val="single"/>
        </w:rPr>
        <w:t>Nguyen Hoang Huong</w:t>
      </w:r>
      <w:r w:rsidR="00A01086" w:rsidRPr="009E72F4">
        <w:rPr>
          <w:rFonts w:ascii="Times New Roman" w:eastAsia="宋体" w:hAnsi="Times New Roman" w:cs="Times New Roman"/>
          <w:b/>
          <w:bCs/>
          <w:i/>
          <w:iCs/>
          <w:sz w:val="22"/>
          <w:u w:val="single"/>
        </w:rPr>
        <w:t xml:space="preserve">, </w:t>
      </w:r>
      <w:r w:rsidRPr="009E72F4">
        <w:rPr>
          <w:rFonts w:ascii="Times New Roman" w:eastAsia="宋体" w:hAnsi="Times New Roman" w:cs="Times New Roman"/>
          <w:b/>
          <w:bCs/>
          <w:i/>
          <w:iCs/>
          <w:sz w:val="22"/>
          <w:u w:val="single"/>
        </w:rPr>
        <w:t>Legal Assistant</w:t>
      </w:r>
    </w:p>
    <w:p w14:paraId="642B2631" w14:textId="77777777" w:rsidR="00A01086" w:rsidRPr="009E72F4" w:rsidRDefault="00A01086" w:rsidP="00A01086">
      <w:pPr>
        <w:pStyle w:val="a3"/>
        <w:ind w:left="425" w:firstLineChars="0" w:firstLine="0"/>
        <w:jc w:val="left"/>
        <w:rPr>
          <w:rFonts w:ascii="Times New Roman" w:eastAsia="宋体" w:hAnsi="Times New Roman" w:cs="Times New Roman"/>
          <w:b/>
          <w:bCs/>
          <w:i/>
          <w:iCs/>
          <w:sz w:val="22"/>
          <w:u w:val="single"/>
        </w:rPr>
      </w:pPr>
    </w:p>
    <w:p w14:paraId="53BFAC9B" w14:textId="69B5C990" w:rsidR="00A01086" w:rsidRPr="00A01086" w:rsidRDefault="00A01086" w:rsidP="00A01086">
      <w:pPr>
        <w:pStyle w:val="a3"/>
        <w:ind w:left="425" w:firstLineChars="0" w:firstLine="0"/>
        <w:jc w:val="left"/>
      </w:pPr>
      <w:r w:rsidRPr="009E72F4">
        <w:rPr>
          <w:rFonts w:ascii="Times New Roman" w:eastAsia="宋体" w:hAnsi="Times New Roman" w:cs="Times New Roman"/>
          <w:b/>
          <w:bCs/>
          <w:i/>
          <w:iCs/>
          <w:sz w:val="22"/>
          <w:u w:val="single"/>
        </w:rPr>
        <w:t xml:space="preserve">from </w:t>
      </w:r>
      <w:proofErr w:type="spellStart"/>
      <w:r w:rsidR="009E72F4" w:rsidRPr="009E72F4">
        <w:rPr>
          <w:rFonts w:ascii="Times New Roman" w:eastAsia="宋体" w:hAnsi="Times New Roman" w:cs="Times New Roman"/>
          <w:b/>
          <w:bCs/>
          <w:i/>
          <w:iCs/>
          <w:sz w:val="22"/>
          <w:u w:val="single"/>
        </w:rPr>
        <w:t>LuatViet</w:t>
      </w:r>
      <w:proofErr w:type="spellEnd"/>
      <w:r w:rsidR="009E72F4" w:rsidRPr="009E72F4">
        <w:rPr>
          <w:rFonts w:ascii="Times New Roman" w:eastAsia="宋体" w:hAnsi="Times New Roman" w:cs="Times New Roman"/>
          <w:b/>
          <w:bCs/>
          <w:i/>
          <w:iCs/>
          <w:sz w:val="22"/>
          <w:u w:val="single"/>
        </w:rPr>
        <w:t xml:space="preserve"> – Advocates &amp; Solicitors</w:t>
      </w:r>
      <w:r w:rsidRPr="009E72F4">
        <w:rPr>
          <w:rFonts w:ascii="Times New Roman" w:eastAsia="宋体" w:hAnsi="Times New Roman" w:cs="Times New Roman"/>
          <w:b/>
          <w:bCs/>
          <w:i/>
          <w:iCs/>
          <w:sz w:val="22"/>
          <w:u w:val="single"/>
        </w:rPr>
        <w:t xml:space="preserve"> in </w:t>
      </w:r>
      <w:r w:rsidR="009E72F4">
        <w:rPr>
          <w:rFonts w:ascii="Times New Roman" w:eastAsia="仿宋" w:hAnsi="Times New Roman" w:cs="Times New Roman"/>
          <w:b/>
          <w:bCs/>
          <w:i/>
          <w:iCs/>
          <w:sz w:val="22"/>
          <w:u w:val="single"/>
        </w:rPr>
        <w:t>V</w:t>
      </w:r>
      <w:r w:rsidR="009E72F4">
        <w:rPr>
          <w:rFonts w:ascii="Times New Roman" w:eastAsia="仿宋" w:hAnsi="Times New Roman" w:cs="Times New Roman" w:hint="eastAsia"/>
          <w:b/>
          <w:bCs/>
          <w:i/>
          <w:iCs/>
          <w:sz w:val="22"/>
          <w:u w:val="single"/>
        </w:rPr>
        <w:t>ietnam</w:t>
      </w:r>
      <w:r w:rsidRPr="009E72F4">
        <w:rPr>
          <w:rFonts w:ascii="Times New Roman" w:eastAsia="仿宋" w:hAnsi="Times New Roman" w:cs="Times New Roman"/>
          <w:b/>
          <w:bCs/>
          <w:i/>
          <w:iCs/>
          <w:sz w:val="22"/>
          <w:u w:val="single"/>
        </w:rPr>
        <w:t xml:space="preserve"> </w:t>
      </w:r>
      <w:r w:rsidRPr="009E72F4">
        <w:rPr>
          <w:rFonts w:ascii="Times New Roman" w:eastAsia="宋体" w:hAnsi="Times New Roman" w:cs="Times New Roman"/>
          <w:b/>
          <w:bCs/>
          <w:i/>
          <w:iCs/>
          <w:sz w:val="22"/>
          <w:u w:val="single"/>
        </w:rPr>
        <w:t>by</w:t>
      </w:r>
      <w:r w:rsidRPr="009E72F4">
        <w:rPr>
          <w:rFonts w:ascii="Times New Roman" w:eastAsia="仿宋" w:hAnsi="Times New Roman" w:cs="Times New Roman"/>
          <w:b/>
          <w:bCs/>
          <w:i/>
          <w:iCs/>
          <w:sz w:val="22"/>
          <w:u w:val="single"/>
        </w:rPr>
        <w:t xml:space="preserve"> February </w:t>
      </w:r>
      <w:r w:rsidR="009E72F4">
        <w:rPr>
          <w:rFonts w:ascii="Times New Roman" w:eastAsia="仿宋" w:hAnsi="Times New Roman" w:cs="Times New Roman"/>
          <w:b/>
          <w:bCs/>
          <w:i/>
          <w:iCs/>
          <w:sz w:val="22"/>
          <w:u w:val="single"/>
        </w:rPr>
        <w:t>26</w:t>
      </w:r>
      <w:r w:rsidR="009E72F4">
        <w:rPr>
          <w:rFonts w:ascii="Times New Roman" w:eastAsia="仿宋" w:hAnsi="Times New Roman" w:cs="Times New Roman"/>
          <w:b/>
          <w:bCs/>
          <w:i/>
          <w:iCs/>
          <w:sz w:val="22"/>
          <w:u w:val="single"/>
          <w:vertAlign w:val="superscript"/>
        </w:rPr>
        <w:t>th</w:t>
      </w:r>
      <w:r w:rsidRPr="009E72F4">
        <w:rPr>
          <w:rFonts w:ascii="Times New Roman" w:eastAsia="仿宋" w:hAnsi="Times New Roman" w:cs="Times New Roman"/>
          <w:b/>
          <w:bCs/>
          <w:i/>
          <w:iCs/>
          <w:sz w:val="22"/>
          <w:u w:val="single"/>
        </w:rPr>
        <w:t>,</w:t>
      </w:r>
      <w:r w:rsidRPr="00386BE9">
        <w:rPr>
          <w:rFonts w:ascii="Times New Roman" w:eastAsia="仿宋" w:hAnsi="Times New Roman" w:cs="Times New Roman"/>
          <w:b/>
          <w:bCs/>
          <w:i/>
          <w:iCs/>
          <w:sz w:val="22"/>
          <w:u w:val="single"/>
        </w:rPr>
        <w:t xml:space="preserve"> 2022</w:t>
      </w:r>
      <w:r w:rsidRPr="00386BE9">
        <w:rPr>
          <w:rFonts w:ascii="Times New Roman" w:eastAsia="宋体" w:hAnsi="Times New Roman" w:cs="Times New Roman"/>
          <w:b/>
          <w:bCs/>
          <w:i/>
          <w:iCs/>
          <w:sz w:val="22"/>
          <w:u w:val="singl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venirLTPro">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15736"/>
      <w:docPartObj>
        <w:docPartGallery w:val="Page Numbers (Bottom of Page)"/>
        <w:docPartUnique/>
      </w:docPartObj>
    </w:sdtPr>
    <w:sdtEndPr/>
    <w:sdtContent>
      <w:p w14:paraId="5801867E" w14:textId="62870FED" w:rsidR="00DF7804" w:rsidRDefault="00DF7804">
        <w:pPr>
          <w:pStyle w:val="a6"/>
          <w:jc w:val="center"/>
        </w:pPr>
        <w:r>
          <w:fldChar w:fldCharType="begin"/>
        </w:r>
        <w:r>
          <w:instrText>PAGE   \* MERGEFORMAT</w:instrText>
        </w:r>
        <w:r>
          <w:fldChar w:fldCharType="separate"/>
        </w:r>
        <w:r w:rsidRPr="00A01086">
          <w:t>2</w:t>
        </w:r>
        <w:r>
          <w:fldChar w:fldCharType="end"/>
        </w:r>
      </w:p>
    </w:sdtContent>
  </w:sdt>
  <w:p w14:paraId="62893FFD" w14:textId="0A716DF1" w:rsidR="00C931B7" w:rsidRPr="009E72F4" w:rsidRDefault="00A01086" w:rsidP="009E72F4">
    <w:pPr>
      <w:pStyle w:val="a6"/>
      <w:rPr>
        <w:i/>
        <w:iCs/>
      </w:rPr>
    </w:pPr>
    <w:r>
      <w:rPr>
        <w:i/>
        <w:iCs/>
      </w:rPr>
      <w:t>*A</w:t>
    </w:r>
    <w:r w:rsidRPr="002717A2">
      <w:rPr>
        <w:i/>
        <w:iCs/>
      </w:rPr>
      <w:t xml:space="preserve">nswers are prepared by </w:t>
    </w:r>
    <w:proofErr w:type="spellStart"/>
    <w:r w:rsidR="009E72F4" w:rsidRPr="009E72F4">
      <w:rPr>
        <w:i/>
        <w:iCs/>
      </w:rPr>
      <w:t>LuatViet</w:t>
    </w:r>
    <w:proofErr w:type="spellEnd"/>
    <w:r w:rsidR="009E72F4" w:rsidRPr="009E72F4">
      <w:rPr>
        <w:i/>
        <w:iCs/>
      </w:rPr>
      <w:t xml:space="preserve"> – Advocates &amp; Solicitors</w:t>
    </w:r>
    <w:r w:rsidRPr="002717A2">
      <w:rPr>
        <w:i/>
        <w:iCs/>
      </w:rPr>
      <w:t xml:space="preserve"> in </w:t>
    </w:r>
    <w:r w:rsidR="009E72F4">
      <w:rPr>
        <w:i/>
        <w:iCs/>
      </w:rPr>
      <w:t>V</w:t>
    </w:r>
    <w:r w:rsidR="009E72F4">
      <w:rPr>
        <w:rFonts w:hint="eastAsia"/>
        <w:i/>
        <w:iCs/>
      </w:rPr>
      <w:t>i</w:t>
    </w:r>
    <w:r w:rsidR="009E72F4">
      <w:rPr>
        <w:i/>
        <w:iCs/>
      </w:rPr>
      <w:t>etnam</w:t>
    </w:r>
    <w:r w:rsidRPr="002717A2">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0300" w14:textId="77777777" w:rsidR="00A00061" w:rsidRDefault="00A00061" w:rsidP="00C2589A">
      <w:r>
        <w:separator/>
      </w:r>
    </w:p>
  </w:footnote>
  <w:footnote w:type="continuationSeparator" w:id="0">
    <w:p w14:paraId="3EA5BE47" w14:textId="77777777" w:rsidR="00A00061" w:rsidRDefault="00A00061" w:rsidP="00C2589A">
      <w:r>
        <w:continuationSeparator/>
      </w:r>
    </w:p>
  </w:footnote>
  <w:footnote w:id="1">
    <w:p w14:paraId="7AB5E4D2" w14:textId="060C0DB7" w:rsidR="009E72F4" w:rsidRPr="009E72F4" w:rsidRDefault="009E72F4">
      <w:pPr>
        <w:pStyle w:val="a8"/>
      </w:pPr>
      <w:r>
        <w:rPr>
          <w:rStyle w:val="aa"/>
        </w:rPr>
        <w:footnoteRef/>
      </w:r>
      <w:r>
        <w:t xml:space="preserve"> </w:t>
      </w:r>
      <w:r w:rsidRPr="009E72F4">
        <w:rPr>
          <w:rFonts w:ascii="Times New Roman" w:hAnsi="Times New Roman" w:cs="Times New Roman"/>
        </w:rPr>
        <w:t>Vietnam’s commitments in the WTO</w:t>
      </w:r>
    </w:p>
  </w:footnote>
  <w:footnote w:id="2">
    <w:p w14:paraId="4BFA55DC" w14:textId="13702D04" w:rsidR="009E72F4" w:rsidRPr="009E72F4" w:rsidRDefault="009E72F4">
      <w:pPr>
        <w:pStyle w:val="a8"/>
      </w:pPr>
      <w:r>
        <w:rPr>
          <w:rStyle w:val="aa"/>
        </w:rPr>
        <w:footnoteRef/>
      </w:r>
      <w:r>
        <w:t xml:space="preserve"> </w:t>
      </w:r>
      <w:r w:rsidRPr="009E72F4">
        <w:rPr>
          <w:rFonts w:ascii="Times New Roman" w:hAnsi="Times New Roman" w:cs="Times New Roman"/>
        </w:rPr>
        <w:t>Article 26.3 Law on Cyber Security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537" w14:textId="77777777" w:rsidR="00DF7804" w:rsidRDefault="00DF7804" w:rsidP="00DF7804">
    <w:pPr>
      <w:pStyle w:val="a4"/>
      <w:jc w:val="left"/>
    </w:pPr>
    <w:r>
      <w:rPr>
        <w:noProof/>
      </w:rPr>
      <w:drawing>
        <wp:anchor distT="0" distB="0" distL="114300" distR="114300" simplePos="0" relativeHeight="251659264" behindDoc="0" locked="0" layoutInCell="1" allowOverlap="1" wp14:anchorId="4D6D8F7C" wp14:editId="178B5695">
          <wp:simplePos x="0" y="0"/>
          <wp:positionH relativeFrom="column">
            <wp:posOffset>4975755</wp:posOffset>
          </wp:positionH>
          <wp:positionV relativeFrom="paragraph">
            <wp:posOffset>-6985</wp:posOffset>
          </wp:positionV>
          <wp:extent cx="1209145" cy="285749"/>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1285235" cy="303731"/>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RCEP</w:t>
    </w:r>
    <w:r>
      <w:rPr>
        <w:rFonts w:hint="eastAsia"/>
      </w:rPr>
      <w:t>成员国外商投资及并购法律指引系列专栏</w:t>
    </w:r>
  </w:p>
  <w:p w14:paraId="151BB6DE" w14:textId="14375560" w:rsidR="00DF7804" w:rsidRPr="00DF7804" w:rsidRDefault="00DF7804" w:rsidP="00386BE9">
    <w:pPr>
      <w:pStyle w:val="a4"/>
      <w:jc w:val="left"/>
    </w:pPr>
    <w:bookmarkStart w:id="1" w:name="_Hlk98771269"/>
    <w:r w:rsidRPr="008F47D4">
      <w:t>Series</w:t>
    </w:r>
    <w:r w:rsidR="00E87C68" w:rsidRPr="00E87C68">
      <w:t xml:space="preserve"> </w:t>
    </w:r>
    <w:r w:rsidR="00E87C68" w:rsidRPr="008F47D4">
      <w:t>on</w:t>
    </w:r>
    <w:r w:rsidRPr="008F47D4">
      <w:t xml:space="preserve"> </w:t>
    </w:r>
    <w:r w:rsidR="00E87C68" w:rsidRPr="00E87C68">
      <w:t>FDI and M&amp;A Legal Guidelines</w:t>
    </w:r>
    <w:r w:rsidR="00E87C68">
      <w:t xml:space="preserve"> </w:t>
    </w:r>
    <w:r w:rsidR="00E87C68">
      <w:rPr>
        <w:rFonts w:hint="eastAsia"/>
      </w:rPr>
      <w:t>for</w:t>
    </w:r>
    <w:r w:rsidR="00E87C68" w:rsidRPr="00E87C68">
      <w:t xml:space="preserve"> </w:t>
    </w:r>
    <w:r w:rsidRPr="008F47D4">
      <w:t xml:space="preserve">the </w:t>
    </w:r>
    <w:r w:rsidR="00621736" w:rsidRPr="008F47D4">
      <w:t>Member Countries</w:t>
    </w:r>
    <w:r w:rsidRPr="008F47D4">
      <w:t xml:space="preserve"> of RCEP</w:t>
    </w:r>
    <w:bookmarkEnd w:id="1"/>
  </w:p>
  <w:p w14:paraId="0576A5F2" w14:textId="77777777" w:rsidR="00C931B7" w:rsidRDefault="00C931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F27"/>
    <w:multiLevelType w:val="hybridMultilevel"/>
    <w:tmpl w:val="8D92B068"/>
    <w:lvl w:ilvl="0" w:tplc="0D12C472">
      <w:start w:val="1"/>
      <w:numFmt w:val="bullet"/>
      <w:lvlText w:val=""/>
      <w:lvlJc w:val="righ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 w15:restartNumberingAfterBreak="0">
    <w:nsid w:val="0124760E"/>
    <w:multiLevelType w:val="hybridMultilevel"/>
    <w:tmpl w:val="5756F118"/>
    <w:lvl w:ilvl="0" w:tplc="A6F0D7FC">
      <w:start w:val="1"/>
      <w:numFmt w:val="lowerLetter"/>
      <w:lvlText w:val="(%1)"/>
      <w:lvlJc w:val="left"/>
      <w:pPr>
        <w:ind w:left="720" w:hanging="360"/>
      </w:pPr>
      <w:rPr>
        <w:rFonts w:ascii="Times New Roman" w:eastAsia="Palatino Linotype" w:hAnsi="Times New Roman" w:cs="Times New Roman" w:hint="default"/>
        <w:spacing w:val="-3"/>
        <w:w w:val="103"/>
        <w:sz w:val="24"/>
        <w:szCs w:val="24"/>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Palatino Linotype" w:eastAsia="Palatino Linotype" w:hAnsi="Palatino Linotype" w:cs="Palatino Linotype" w:hint="default"/>
        <w:spacing w:val="-3"/>
        <w:w w:val="103"/>
        <w:sz w:val="20"/>
        <w:szCs w:val="20"/>
        <w:lang w:val="en-US" w:eastAsia="en-US" w:bidi="ar-SA"/>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AF349C"/>
    <w:multiLevelType w:val="hybridMultilevel"/>
    <w:tmpl w:val="976A3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86F24"/>
    <w:multiLevelType w:val="hybridMultilevel"/>
    <w:tmpl w:val="D9D67790"/>
    <w:lvl w:ilvl="0" w:tplc="D3CCE97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11022BA4"/>
    <w:multiLevelType w:val="hybridMultilevel"/>
    <w:tmpl w:val="C696FF72"/>
    <w:lvl w:ilvl="0" w:tplc="F6D4C46A">
      <w:start w:val="3"/>
      <w:numFmt w:val="bullet"/>
      <w:lvlText w:val="-"/>
      <w:lvlJc w:val="left"/>
      <w:rPr>
        <w:rFonts w:ascii="AvenirLTPro" w:eastAsia="Times New Roman" w:hAnsi="AvenirLTPro"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5671A4"/>
    <w:multiLevelType w:val="hybridMultilevel"/>
    <w:tmpl w:val="E1784CDA"/>
    <w:lvl w:ilvl="0" w:tplc="2D2AFAD0">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9F1576C"/>
    <w:multiLevelType w:val="hybridMultilevel"/>
    <w:tmpl w:val="3E1C0E70"/>
    <w:lvl w:ilvl="0" w:tplc="3F40D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F60FF"/>
    <w:multiLevelType w:val="hybridMultilevel"/>
    <w:tmpl w:val="F3CEF070"/>
    <w:lvl w:ilvl="0" w:tplc="8324687E">
      <w:start w:val="1"/>
      <w:numFmt w:val="lowerLetter"/>
      <w:lvlText w:val="(%1)"/>
      <w:lvlJc w:val="left"/>
      <w:pPr>
        <w:ind w:left="1440" w:hanging="360"/>
      </w:pPr>
      <w:rPr>
        <w:rFonts w:ascii="Palatino Linotype" w:eastAsia="Palatino Linotype" w:hAnsi="Palatino Linotype" w:cs="Palatino Linotype" w:hint="default"/>
        <w:spacing w:val="-3"/>
        <w:w w:val="103"/>
        <w:sz w:val="20"/>
        <w:szCs w:val="20"/>
        <w:lang w:val="en-US" w:eastAsia="en-US" w:bidi="ar-SA"/>
      </w:rPr>
    </w:lvl>
    <w:lvl w:ilvl="1" w:tplc="FFFFFFFF">
      <w:start w:val="1"/>
      <w:numFmt w:val="decimal"/>
      <w:lvlText w:val="3.%2."/>
      <w:lvlJc w:val="left"/>
      <w:pPr>
        <w:ind w:left="1789" w:hanging="360"/>
      </w:pPr>
      <w:rPr>
        <w:rFonts w:hint="default"/>
      </w:rPr>
    </w:lvl>
    <w:lvl w:ilvl="2" w:tplc="FFFFFFFF">
      <w:start w:val="1"/>
      <w:numFmt w:val="lowerLetter"/>
      <w:lvlText w:val="%3."/>
      <w:lvlJc w:val="left"/>
      <w:pPr>
        <w:ind w:left="2689" w:hanging="360"/>
      </w:pPr>
      <w:rPr>
        <w:rFonts w:hint="default"/>
        <w:b w:val="0"/>
      </w:r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left"/>
      <w:pPr>
        <w:ind w:left="5209" w:hanging="720"/>
      </w:pPr>
      <w:rPr>
        <w:rFonts w:hint="default"/>
      </w:r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24377948"/>
    <w:multiLevelType w:val="hybridMultilevel"/>
    <w:tmpl w:val="FECE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26052"/>
    <w:multiLevelType w:val="hybridMultilevel"/>
    <w:tmpl w:val="D54C5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90658"/>
    <w:multiLevelType w:val="hybridMultilevel"/>
    <w:tmpl w:val="FD704888"/>
    <w:lvl w:ilvl="0" w:tplc="B2BA2D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D69FE"/>
    <w:multiLevelType w:val="hybridMultilevel"/>
    <w:tmpl w:val="C07A7CE4"/>
    <w:lvl w:ilvl="0" w:tplc="31E68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E2B2C"/>
    <w:multiLevelType w:val="hybridMultilevel"/>
    <w:tmpl w:val="CD084F5E"/>
    <w:lvl w:ilvl="0" w:tplc="F6D4C46A">
      <w:start w:val="3"/>
      <w:numFmt w:val="bullet"/>
      <w:lvlText w:val="-"/>
      <w:lvlJc w:val="left"/>
      <w:pPr>
        <w:ind w:left="720" w:hanging="360"/>
      </w:pPr>
      <w:rPr>
        <w:rFonts w:ascii="AvenirLTPro" w:eastAsia="Times New Roman" w:hAnsi="AvenirLTPro" w:cs="Times New Roman"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196600"/>
    <w:multiLevelType w:val="hybridMultilevel"/>
    <w:tmpl w:val="CB4A93A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66ADF"/>
    <w:multiLevelType w:val="hybridMultilevel"/>
    <w:tmpl w:val="91784654"/>
    <w:lvl w:ilvl="0" w:tplc="9B0A63EE">
      <w:start w:val="1"/>
      <w:numFmt w:val="lowerLetter"/>
      <w:lvlText w:val="(%1)"/>
      <w:lvlJc w:val="left"/>
      <w:pPr>
        <w:ind w:left="1440" w:hanging="360"/>
      </w:pPr>
      <w:rPr>
        <w:rFonts w:ascii="Times New Roman" w:eastAsia="Palatino Linotype" w:hAnsi="Times New Roman" w:cs="Times New Roman" w:hint="default"/>
        <w:spacing w:val="-3"/>
        <w:w w:val="103"/>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086E1C"/>
    <w:multiLevelType w:val="hybridMultilevel"/>
    <w:tmpl w:val="BFBAFC8A"/>
    <w:lvl w:ilvl="0" w:tplc="0D12C47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70A72"/>
    <w:multiLevelType w:val="hybridMultilevel"/>
    <w:tmpl w:val="6F34A7A0"/>
    <w:lvl w:ilvl="0" w:tplc="9904C4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EC32E6"/>
    <w:multiLevelType w:val="hybridMultilevel"/>
    <w:tmpl w:val="64046F66"/>
    <w:lvl w:ilvl="0" w:tplc="6B1ECBB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AFA5254"/>
    <w:multiLevelType w:val="hybridMultilevel"/>
    <w:tmpl w:val="99388B02"/>
    <w:lvl w:ilvl="0" w:tplc="FFFFFFFF">
      <w:start w:val="1"/>
      <w:numFmt w:val="lowerLetter"/>
      <w:lvlText w:val="(%1)"/>
      <w:lvlJc w:val="left"/>
      <w:pPr>
        <w:ind w:left="1656" w:hanging="360"/>
      </w:pPr>
      <w:rPr>
        <w:rFonts w:hint="default"/>
      </w:rPr>
    </w:lvl>
    <w:lvl w:ilvl="1" w:tplc="FFFFFFFF" w:tentative="1">
      <w:start w:val="1"/>
      <w:numFmt w:val="lowerLetter"/>
      <w:lvlText w:val="%2."/>
      <w:lvlJc w:val="left"/>
      <w:pPr>
        <w:ind w:left="2376" w:hanging="360"/>
      </w:pPr>
    </w:lvl>
    <w:lvl w:ilvl="2" w:tplc="FFFFFFFF">
      <w:start w:val="1"/>
      <w:numFmt w:val="lowerRoman"/>
      <w:lvlText w:val="%3."/>
      <w:lvlJc w:val="right"/>
      <w:pPr>
        <w:ind w:left="3096" w:hanging="180"/>
      </w:pPr>
    </w:lvl>
    <w:lvl w:ilvl="3" w:tplc="8324687E">
      <w:start w:val="1"/>
      <w:numFmt w:val="lowerLetter"/>
      <w:lvlText w:val="(%4)"/>
      <w:lvlJc w:val="left"/>
      <w:pPr>
        <w:ind w:left="1440" w:hanging="360"/>
      </w:pPr>
      <w:rPr>
        <w:rFonts w:ascii="Palatino Linotype" w:eastAsia="Palatino Linotype" w:hAnsi="Palatino Linotype" w:cs="Palatino Linotype" w:hint="default"/>
        <w:spacing w:val="-3"/>
        <w:w w:val="103"/>
        <w:sz w:val="20"/>
        <w:szCs w:val="20"/>
        <w:lang w:val="en-US" w:eastAsia="en-US" w:bidi="ar-SA"/>
      </w:r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19" w15:restartNumberingAfterBreak="0">
    <w:nsid w:val="3B6C6614"/>
    <w:multiLevelType w:val="hybridMultilevel"/>
    <w:tmpl w:val="92184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D2DF9"/>
    <w:multiLevelType w:val="multilevel"/>
    <w:tmpl w:val="0EB0DA8E"/>
    <w:lvl w:ilvl="0">
      <w:start w:val="1"/>
      <w:numFmt w:val="bullet"/>
      <w:lvlText w:val=""/>
      <w:lvlJc w:val="left"/>
      <w:pPr>
        <w:tabs>
          <w:tab w:val="num" w:pos="1179"/>
        </w:tabs>
        <w:ind w:left="1179" w:hanging="360"/>
      </w:pPr>
      <w:rPr>
        <w:rFonts w:ascii="Symbol" w:hAnsi="Symbol" w:hint="default"/>
        <w:sz w:val="20"/>
      </w:rPr>
    </w:lvl>
    <w:lvl w:ilvl="1">
      <w:start w:val="6"/>
      <w:numFmt w:val="decimal"/>
      <w:lvlText w:val="%2."/>
      <w:lvlJc w:val="left"/>
      <w:pPr>
        <w:ind w:left="927" w:hanging="360"/>
      </w:pPr>
      <w:rPr>
        <w:rFonts w:hint="default"/>
      </w:rPr>
    </w:lvl>
    <w:lvl w:ilvl="2" w:tentative="1">
      <w:start w:val="1"/>
      <w:numFmt w:val="bullet"/>
      <w:lvlText w:val=""/>
      <w:lvlJc w:val="left"/>
      <w:pPr>
        <w:tabs>
          <w:tab w:val="num" w:pos="2619"/>
        </w:tabs>
        <w:ind w:left="2619" w:hanging="360"/>
      </w:pPr>
      <w:rPr>
        <w:rFonts w:ascii="Symbol" w:hAnsi="Symbol" w:hint="default"/>
        <w:sz w:val="20"/>
      </w:rPr>
    </w:lvl>
    <w:lvl w:ilvl="3" w:tentative="1">
      <w:start w:val="1"/>
      <w:numFmt w:val="bullet"/>
      <w:lvlText w:val=""/>
      <w:lvlJc w:val="left"/>
      <w:pPr>
        <w:tabs>
          <w:tab w:val="num" w:pos="3339"/>
        </w:tabs>
        <w:ind w:left="3339" w:hanging="360"/>
      </w:pPr>
      <w:rPr>
        <w:rFonts w:ascii="Symbol" w:hAnsi="Symbol" w:hint="default"/>
        <w:sz w:val="20"/>
      </w:rPr>
    </w:lvl>
    <w:lvl w:ilvl="4" w:tentative="1">
      <w:start w:val="1"/>
      <w:numFmt w:val="bullet"/>
      <w:lvlText w:val=""/>
      <w:lvlJc w:val="left"/>
      <w:pPr>
        <w:tabs>
          <w:tab w:val="num" w:pos="4059"/>
        </w:tabs>
        <w:ind w:left="4059" w:hanging="360"/>
      </w:pPr>
      <w:rPr>
        <w:rFonts w:ascii="Symbol" w:hAnsi="Symbol" w:hint="default"/>
        <w:sz w:val="20"/>
      </w:rPr>
    </w:lvl>
    <w:lvl w:ilvl="5" w:tentative="1">
      <w:start w:val="1"/>
      <w:numFmt w:val="bullet"/>
      <w:lvlText w:val=""/>
      <w:lvlJc w:val="left"/>
      <w:pPr>
        <w:tabs>
          <w:tab w:val="num" w:pos="4779"/>
        </w:tabs>
        <w:ind w:left="4779" w:hanging="360"/>
      </w:pPr>
      <w:rPr>
        <w:rFonts w:ascii="Symbol" w:hAnsi="Symbol" w:hint="default"/>
        <w:sz w:val="20"/>
      </w:rPr>
    </w:lvl>
    <w:lvl w:ilvl="6" w:tentative="1">
      <w:start w:val="1"/>
      <w:numFmt w:val="bullet"/>
      <w:lvlText w:val=""/>
      <w:lvlJc w:val="left"/>
      <w:pPr>
        <w:tabs>
          <w:tab w:val="num" w:pos="5499"/>
        </w:tabs>
        <w:ind w:left="5499" w:hanging="360"/>
      </w:pPr>
      <w:rPr>
        <w:rFonts w:ascii="Symbol" w:hAnsi="Symbol" w:hint="default"/>
        <w:sz w:val="20"/>
      </w:rPr>
    </w:lvl>
    <w:lvl w:ilvl="7" w:tentative="1">
      <w:start w:val="1"/>
      <w:numFmt w:val="bullet"/>
      <w:lvlText w:val=""/>
      <w:lvlJc w:val="left"/>
      <w:pPr>
        <w:tabs>
          <w:tab w:val="num" w:pos="6219"/>
        </w:tabs>
        <w:ind w:left="6219" w:hanging="360"/>
      </w:pPr>
      <w:rPr>
        <w:rFonts w:ascii="Symbol" w:hAnsi="Symbol" w:hint="default"/>
        <w:sz w:val="20"/>
      </w:rPr>
    </w:lvl>
    <w:lvl w:ilvl="8" w:tentative="1">
      <w:start w:val="1"/>
      <w:numFmt w:val="bullet"/>
      <w:lvlText w:val=""/>
      <w:lvlJc w:val="left"/>
      <w:pPr>
        <w:tabs>
          <w:tab w:val="num" w:pos="6939"/>
        </w:tabs>
        <w:ind w:left="6939" w:hanging="360"/>
      </w:pPr>
      <w:rPr>
        <w:rFonts w:ascii="Symbol" w:hAnsi="Symbol" w:hint="default"/>
        <w:sz w:val="20"/>
      </w:rPr>
    </w:lvl>
  </w:abstractNum>
  <w:abstractNum w:abstractNumId="21" w15:restartNumberingAfterBreak="0">
    <w:nsid w:val="4075039F"/>
    <w:multiLevelType w:val="hybridMultilevel"/>
    <w:tmpl w:val="D4AA2488"/>
    <w:lvl w:ilvl="0" w:tplc="47B08B9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5741E4"/>
    <w:multiLevelType w:val="hybridMultilevel"/>
    <w:tmpl w:val="CE3A1BFA"/>
    <w:lvl w:ilvl="0" w:tplc="3D52F7A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A7C2D0F"/>
    <w:multiLevelType w:val="hybridMultilevel"/>
    <w:tmpl w:val="89CE0AAA"/>
    <w:lvl w:ilvl="0" w:tplc="0D12C472">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7E7DE2"/>
    <w:multiLevelType w:val="hybridMultilevel"/>
    <w:tmpl w:val="F95E2BEA"/>
    <w:lvl w:ilvl="0" w:tplc="0D12C472">
      <w:start w:val="1"/>
      <w:numFmt w:val="bullet"/>
      <w:lvlText w:val=""/>
      <w:lvlJc w:val="right"/>
      <w:pPr>
        <w:ind w:left="720" w:hanging="360"/>
      </w:pPr>
      <w:rPr>
        <w:rFonts w:ascii="Wingdings" w:hAnsi="Wingdings" w:hint="default"/>
      </w:rPr>
    </w:lvl>
    <w:lvl w:ilvl="1" w:tplc="0D12C472">
      <w:start w:val="1"/>
      <w:numFmt w:val="bullet"/>
      <w:lvlText w:val=""/>
      <w:lvlJc w:val="righ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B71A7"/>
    <w:multiLevelType w:val="hybridMultilevel"/>
    <w:tmpl w:val="CB7854E6"/>
    <w:lvl w:ilvl="0" w:tplc="BA16570C">
      <w:start w:val="1"/>
      <w:numFmt w:val="lowerRoman"/>
      <w:lvlText w:val="%1."/>
      <w:lvlJc w:val="left"/>
      <w:pPr>
        <w:ind w:left="1440" w:hanging="360"/>
      </w:pPr>
      <w:rPr>
        <w:rFonts w:hint="default"/>
        <w:b w:val="0"/>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B9A7136"/>
    <w:multiLevelType w:val="hybridMultilevel"/>
    <w:tmpl w:val="5C186A54"/>
    <w:lvl w:ilvl="0" w:tplc="8324687E">
      <w:start w:val="1"/>
      <w:numFmt w:val="lowerLetter"/>
      <w:lvlText w:val="(%1)"/>
      <w:lvlJc w:val="left"/>
      <w:pPr>
        <w:ind w:left="1080" w:hanging="360"/>
      </w:pPr>
      <w:rPr>
        <w:rFonts w:ascii="Palatino Linotype" w:eastAsia="Palatino Linotype" w:hAnsi="Palatino Linotype" w:cs="Palatino Linotype" w:hint="default"/>
        <w:spacing w:val="-3"/>
        <w:w w:val="103"/>
        <w:sz w:val="20"/>
        <w:szCs w:val="20"/>
        <w:lang w:val="en-US" w:eastAsia="en-US" w:bidi="ar-S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C766440"/>
    <w:multiLevelType w:val="hybridMultilevel"/>
    <w:tmpl w:val="69E25E5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8" w15:restartNumberingAfterBreak="0">
    <w:nsid w:val="5D140397"/>
    <w:multiLevelType w:val="hybridMultilevel"/>
    <w:tmpl w:val="C94E4B8E"/>
    <w:lvl w:ilvl="0" w:tplc="07301094">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CE6000B"/>
    <w:multiLevelType w:val="hybridMultilevel"/>
    <w:tmpl w:val="ED300F78"/>
    <w:lvl w:ilvl="0" w:tplc="E0408D2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15:restartNumberingAfterBreak="0">
    <w:nsid w:val="6F5D0436"/>
    <w:multiLevelType w:val="hybridMultilevel"/>
    <w:tmpl w:val="0B8420C4"/>
    <w:lvl w:ilvl="0" w:tplc="A104A338">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32879"/>
    <w:multiLevelType w:val="hybridMultilevel"/>
    <w:tmpl w:val="E46EECCA"/>
    <w:lvl w:ilvl="0" w:tplc="2D2AFAD0">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5F86EE1"/>
    <w:multiLevelType w:val="hybridMultilevel"/>
    <w:tmpl w:val="C622A48A"/>
    <w:lvl w:ilvl="0" w:tplc="BE80D6D2">
      <w:numFmt w:val="bullet"/>
      <w:lvlText w:val="·"/>
      <w:lvlJc w:val="left"/>
      <w:pPr>
        <w:ind w:left="890" w:hanging="465"/>
      </w:pPr>
      <w:rPr>
        <w:rFonts w:ascii="Times New Roman" w:eastAsia="宋体"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3" w15:restartNumberingAfterBreak="0">
    <w:nsid w:val="7ADC23B9"/>
    <w:multiLevelType w:val="hybridMultilevel"/>
    <w:tmpl w:val="DB2CC7FA"/>
    <w:lvl w:ilvl="0" w:tplc="598A6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5474363">
    <w:abstractNumId w:val="32"/>
  </w:num>
  <w:num w:numId="2" w16cid:durableId="7610539">
    <w:abstractNumId w:val="0"/>
  </w:num>
  <w:num w:numId="3" w16cid:durableId="37168613">
    <w:abstractNumId w:val="15"/>
  </w:num>
  <w:num w:numId="4" w16cid:durableId="2037851765">
    <w:abstractNumId w:val="17"/>
  </w:num>
  <w:num w:numId="5" w16cid:durableId="90203162">
    <w:abstractNumId w:val="28"/>
  </w:num>
  <w:num w:numId="6" w16cid:durableId="370495143">
    <w:abstractNumId w:val="29"/>
  </w:num>
  <w:num w:numId="7" w16cid:durableId="461384960">
    <w:abstractNumId w:val="24"/>
  </w:num>
  <w:num w:numId="8" w16cid:durableId="330911121">
    <w:abstractNumId w:val="3"/>
  </w:num>
  <w:num w:numId="9" w16cid:durableId="86577873">
    <w:abstractNumId w:val="31"/>
  </w:num>
  <w:num w:numId="10" w16cid:durableId="192229023">
    <w:abstractNumId w:val="5"/>
  </w:num>
  <w:num w:numId="11" w16cid:durableId="1374693821">
    <w:abstractNumId w:val="2"/>
  </w:num>
  <w:num w:numId="12" w16cid:durableId="46417743">
    <w:abstractNumId w:val="13"/>
  </w:num>
  <w:num w:numId="13" w16cid:durableId="1380320162">
    <w:abstractNumId w:val="22"/>
  </w:num>
  <w:num w:numId="14" w16cid:durableId="348724772">
    <w:abstractNumId w:val="12"/>
  </w:num>
  <w:num w:numId="15" w16cid:durableId="2125465453">
    <w:abstractNumId w:val="27"/>
  </w:num>
  <w:num w:numId="16" w16cid:durableId="239943647">
    <w:abstractNumId w:val="20"/>
  </w:num>
  <w:num w:numId="17" w16cid:durableId="108790448">
    <w:abstractNumId w:val="7"/>
  </w:num>
  <w:num w:numId="18" w16cid:durableId="1223559187">
    <w:abstractNumId w:val="26"/>
  </w:num>
  <w:num w:numId="19" w16cid:durableId="2000620849">
    <w:abstractNumId w:val="16"/>
  </w:num>
  <w:num w:numId="20" w16cid:durableId="1249077060">
    <w:abstractNumId w:val="10"/>
  </w:num>
  <w:num w:numId="21" w16cid:durableId="1756659036">
    <w:abstractNumId w:val="18"/>
  </w:num>
  <w:num w:numId="22" w16cid:durableId="1994528489">
    <w:abstractNumId w:val="30"/>
  </w:num>
  <w:num w:numId="23" w16cid:durableId="363331702">
    <w:abstractNumId w:val="23"/>
  </w:num>
  <w:num w:numId="24" w16cid:durableId="1519736605">
    <w:abstractNumId w:val="14"/>
  </w:num>
  <w:num w:numId="25" w16cid:durableId="785465427">
    <w:abstractNumId w:val="21"/>
  </w:num>
  <w:num w:numId="26" w16cid:durableId="66727640">
    <w:abstractNumId w:val="33"/>
  </w:num>
  <w:num w:numId="27" w16cid:durableId="1346251038">
    <w:abstractNumId w:val="11"/>
  </w:num>
  <w:num w:numId="28" w16cid:durableId="308092340">
    <w:abstractNumId w:val="9"/>
  </w:num>
  <w:num w:numId="29" w16cid:durableId="907156316">
    <w:abstractNumId w:val="6"/>
  </w:num>
  <w:num w:numId="30" w16cid:durableId="1145511767">
    <w:abstractNumId w:val="25"/>
  </w:num>
  <w:num w:numId="31" w16cid:durableId="2063402045">
    <w:abstractNumId w:val="4"/>
  </w:num>
  <w:num w:numId="32" w16cid:durableId="1180924760">
    <w:abstractNumId w:val="1"/>
  </w:num>
  <w:num w:numId="33" w16cid:durableId="1139886311">
    <w:abstractNumId w:val="8"/>
  </w:num>
  <w:num w:numId="34" w16cid:durableId="476654586">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sTAxMrM0MLMwMjJS0lEKTi0uzszPAykwqwUAfzl56iwAAAA="/>
    <w:docVar w:name="DMDocumentId" w:val="AP_DMS!411001843.2"/>
    <w:docVar w:name="DMDocumentLibraryName" w:val="AP_DMS"/>
    <w:docVar w:name="DMReference" w:val="411001843-v2\AP_DMS"/>
  </w:docVars>
  <w:rsids>
    <w:rsidRoot w:val="006A1B8F"/>
    <w:rsid w:val="00003A32"/>
    <w:rsid w:val="00004551"/>
    <w:rsid w:val="00033F53"/>
    <w:rsid w:val="000346B0"/>
    <w:rsid w:val="00037752"/>
    <w:rsid w:val="00053B0F"/>
    <w:rsid w:val="000551AE"/>
    <w:rsid w:val="00080C58"/>
    <w:rsid w:val="00082B4E"/>
    <w:rsid w:val="000901AD"/>
    <w:rsid w:val="000C3D51"/>
    <w:rsid w:val="000C7F04"/>
    <w:rsid w:val="000D498A"/>
    <w:rsid w:val="000F15F3"/>
    <w:rsid w:val="000F4883"/>
    <w:rsid w:val="00100A5B"/>
    <w:rsid w:val="001061A3"/>
    <w:rsid w:val="00107A9F"/>
    <w:rsid w:val="0011605C"/>
    <w:rsid w:val="00134EB8"/>
    <w:rsid w:val="00142EB9"/>
    <w:rsid w:val="00150EB7"/>
    <w:rsid w:val="00170084"/>
    <w:rsid w:val="001B5F17"/>
    <w:rsid w:val="001D35B8"/>
    <w:rsid w:val="001D6A81"/>
    <w:rsid w:val="001E6A9F"/>
    <w:rsid w:val="001F44E1"/>
    <w:rsid w:val="001F6B8F"/>
    <w:rsid w:val="002027EE"/>
    <w:rsid w:val="0020753E"/>
    <w:rsid w:val="0022184A"/>
    <w:rsid w:val="00221C58"/>
    <w:rsid w:val="002232E4"/>
    <w:rsid w:val="00236626"/>
    <w:rsid w:val="002369D3"/>
    <w:rsid w:val="00250FAE"/>
    <w:rsid w:val="00276150"/>
    <w:rsid w:val="00281B3A"/>
    <w:rsid w:val="00290C60"/>
    <w:rsid w:val="002A4822"/>
    <w:rsid w:val="002B36DC"/>
    <w:rsid w:val="002E42AA"/>
    <w:rsid w:val="0030640D"/>
    <w:rsid w:val="003275AE"/>
    <w:rsid w:val="00340FFD"/>
    <w:rsid w:val="00341B1F"/>
    <w:rsid w:val="00386BE9"/>
    <w:rsid w:val="00387452"/>
    <w:rsid w:val="003E3604"/>
    <w:rsid w:val="003E6B3C"/>
    <w:rsid w:val="003F6B02"/>
    <w:rsid w:val="00417A7B"/>
    <w:rsid w:val="00440EFC"/>
    <w:rsid w:val="0044202F"/>
    <w:rsid w:val="00452CC7"/>
    <w:rsid w:val="004730A7"/>
    <w:rsid w:val="00485073"/>
    <w:rsid w:val="004A1E83"/>
    <w:rsid w:val="004E1A1B"/>
    <w:rsid w:val="004F000D"/>
    <w:rsid w:val="004F76E4"/>
    <w:rsid w:val="00501B65"/>
    <w:rsid w:val="005732C0"/>
    <w:rsid w:val="00584325"/>
    <w:rsid w:val="005A5C9F"/>
    <w:rsid w:val="005A6E2E"/>
    <w:rsid w:val="005C467C"/>
    <w:rsid w:val="005D5A83"/>
    <w:rsid w:val="005E319C"/>
    <w:rsid w:val="005E4088"/>
    <w:rsid w:val="005F300C"/>
    <w:rsid w:val="005F41FD"/>
    <w:rsid w:val="00621736"/>
    <w:rsid w:val="00625276"/>
    <w:rsid w:val="0063714F"/>
    <w:rsid w:val="00641D48"/>
    <w:rsid w:val="006574B8"/>
    <w:rsid w:val="006918E2"/>
    <w:rsid w:val="006959A9"/>
    <w:rsid w:val="006A1B8F"/>
    <w:rsid w:val="006B2943"/>
    <w:rsid w:val="006D5A30"/>
    <w:rsid w:val="00720BE9"/>
    <w:rsid w:val="00740194"/>
    <w:rsid w:val="00743E2E"/>
    <w:rsid w:val="00786EB2"/>
    <w:rsid w:val="007D212B"/>
    <w:rsid w:val="007D3363"/>
    <w:rsid w:val="007D7AC1"/>
    <w:rsid w:val="007E272A"/>
    <w:rsid w:val="007E3C38"/>
    <w:rsid w:val="007E6CA2"/>
    <w:rsid w:val="007F1537"/>
    <w:rsid w:val="00830CCC"/>
    <w:rsid w:val="0083288A"/>
    <w:rsid w:val="008656ED"/>
    <w:rsid w:val="00891D3B"/>
    <w:rsid w:val="008A7DD4"/>
    <w:rsid w:val="008B2DA6"/>
    <w:rsid w:val="008C5242"/>
    <w:rsid w:val="008D0098"/>
    <w:rsid w:val="008F4A3C"/>
    <w:rsid w:val="00933B66"/>
    <w:rsid w:val="00983E85"/>
    <w:rsid w:val="00992EDB"/>
    <w:rsid w:val="009A138E"/>
    <w:rsid w:val="009A7310"/>
    <w:rsid w:val="009D3790"/>
    <w:rsid w:val="009E72F4"/>
    <w:rsid w:val="009F190B"/>
    <w:rsid w:val="00A00061"/>
    <w:rsid w:val="00A002BA"/>
    <w:rsid w:val="00A01086"/>
    <w:rsid w:val="00A13BFC"/>
    <w:rsid w:val="00A41DD7"/>
    <w:rsid w:val="00A4381F"/>
    <w:rsid w:val="00A957F8"/>
    <w:rsid w:val="00A95F34"/>
    <w:rsid w:val="00B84F42"/>
    <w:rsid w:val="00BD4283"/>
    <w:rsid w:val="00BD7B01"/>
    <w:rsid w:val="00BE0287"/>
    <w:rsid w:val="00BE65DD"/>
    <w:rsid w:val="00C10981"/>
    <w:rsid w:val="00C11C10"/>
    <w:rsid w:val="00C21889"/>
    <w:rsid w:val="00C2589A"/>
    <w:rsid w:val="00C27F99"/>
    <w:rsid w:val="00C31978"/>
    <w:rsid w:val="00C45904"/>
    <w:rsid w:val="00C8351A"/>
    <w:rsid w:val="00C931B7"/>
    <w:rsid w:val="00C96ABA"/>
    <w:rsid w:val="00CD3022"/>
    <w:rsid w:val="00CD7513"/>
    <w:rsid w:val="00CE0ED8"/>
    <w:rsid w:val="00CE7101"/>
    <w:rsid w:val="00D03157"/>
    <w:rsid w:val="00D051FA"/>
    <w:rsid w:val="00D069C7"/>
    <w:rsid w:val="00D1201C"/>
    <w:rsid w:val="00D34F1A"/>
    <w:rsid w:val="00D740A5"/>
    <w:rsid w:val="00D834BB"/>
    <w:rsid w:val="00D94A56"/>
    <w:rsid w:val="00D97341"/>
    <w:rsid w:val="00DC1737"/>
    <w:rsid w:val="00DF0993"/>
    <w:rsid w:val="00DF7804"/>
    <w:rsid w:val="00E12FE7"/>
    <w:rsid w:val="00E15B7B"/>
    <w:rsid w:val="00E30732"/>
    <w:rsid w:val="00E573F1"/>
    <w:rsid w:val="00E65278"/>
    <w:rsid w:val="00E87C68"/>
    <w:rsid w:val="00E9375F"/>
    <w:rsid w:val="00E943EC"/>
    <w:rsid w:val="00EC2560"/>
    <w:rsid w:val="00EC40D3"/>
    <w:rsid w:val="00EC7D82"/>
    <w:rsid w:val="00F05835"/>
    <w:rsid w:val="00F27D07"/>
    <w:rsid w:val="00F423CA"/>
    <w:rsid w:val="00F42F42"/>
    <w:rsid w:val="00F93B29"/>
    <w:rsid w:val="00FA6A4F"/>
    <w:rsid w:val="00FC5BCF"/>
    <w:rsid w:val="00FC63E3"/>
    <w:rsid w:val="00FF3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E76BB"/>
  <w15:chartTrackingRefBased/>
  <w15:docId w15:val="{01DE7645-4030-49EF-BF19-6786AE0E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A81"/>
    <w:pPr>
      <w:ind w:firstLineChars="200" w:firstLine="420"/>
    </w:pPr>
  </w:style>
  <w:style w:type="paragraph" w:styleId="a4">
    <w:name w:val="header"/>
    <w:basedOn w:val="a"/>
    <w:link w:val="a5"/>
    <w:uiPriority w:val="99"/>
    <w:unhideWhenUsed/>
    <w:qFormat/>
    <w:rsid w:val="00C258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qFormat/>
    <w:rsid w:val="00C2589A"/>
    <w:rPr>
      <w:sz w:val="18"/>
      <w:szCs w:val="18"/>
    </w:rPr>
  </w:style>
  <w:style w:type="paragraph" w:styleId="a6">
    <w:name w:val="footer"/>
    <w:basedOn w:val="a"/>
    <w:link w:val="a7"/>
    <w:uiPriority w:val="99"/>
    <w:unhideWhenUsed/>
    <w:qFormat/>
    <w:rsid w:val="00C2589A"/>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C2589A"/>
    <w:rPr>
      <w:sz w:val="18"/>
      <w:szCs w:val="18"/>
    </w:rPr>
  </w:style>
  <w:style w:type="paragraph" w:styleId="a8">
    <w:name w:val="footnote text"/>
    <w:basedOn w:val="a"/>
    <w:link w:val="a9"/>
    <w:uiPriority w:val="99"/>
    <w:unhideWhenUsed/>
    <w:rsid w:val="00F93B29"/>
    <w:rPr>
      <w:sz w:val="20"/>
      <w:szCs w:val="20"/>
    </w:rPr>
  </w:style>
  <w:style w:type="character" w:customStyle="1" w:styleId="a9">
    <w:name w:val="脚注文本 字符"/>
    <w:basedOn w:val="a0"/>
    <w:link w:val="a8"/>
    <w:uiPriority w:val="99"/>
    <w:rsid w:val="00F93B29"/>
    <w:rPr>
      <w:sz w:val="20"/>
      <w:szCs w:val="20"/>
    </w:rPr>
  </w:style>
  <w:style w:type="character" w:styleId="aa">
    <w:name w:val="footnote reference"/>
    <w:basedOn w:val="a0"/>
    <w:uiPriority w:val="99"/>
    <w:semiHidden/>
    <w:unhideWhenUsed/>
    <w:rsid w:val="00F93B29"/>
    <w:rPr>
      <w:vertAlign w:val="superscript"/>
    </w:rPr>
  </w:style>
  <w:style w:type="paragraph" w:styleId="ab">
    <w:name w:val="Title"/>
    <w:basedOn w:val="a"/>
    <w:next w:val="a"/>
    <w:link w:val="ac"/>
    <w:uiPriority w:val="10"/>
    <w:qFormat/>
    <w:rsid w:val="002027EE"/>
    <w:pPr>
      <w:contextualSpacing/>
    </w:pPr>
    <w:rPr>
      <w:rFonts w:asciiTheme="majorHAnsi" w:eastAsiaTheme="majorEastAsia" w:hAnsiTheme="majorHAnsi" w:cstheme="majorBidi"/>
      <w:spacing w:val="-10"/>
      <w:kern w:val="28"/>
      <w:sz w:val="56"/>
      <w:szCs w:val="56"/>
    </w:rPr>
  </w:style>
  <w:style w:type="character" w:customStyle="1" w:styleId="ac">
    <w:name w:val="标题 字符"/>
    <w:basedOn w:val="a0"/>
    <w:link w:val="ab"/>
    <w:uiPriority w:val="10"/>
    <w:rsid w:val="002027EE"/>
    <w:rPr>
      <w:rFonts w:asciiTheme="majorHAnsi" w:eastAsiaTheme="majorEastAsia" w:hAnsiTheme="majorHAnsi" w:cstheme="majorBidi"/>
      <w:spacing w:val="-10"/>
      <w:kern w:val="28"/>
      <w:sz w:val="56"/>
      <w:szCs w:val="56"/>
    </w:rPr>
  </w:style>
  <w:style w:type="paragraph" w:styleId="ad">
    <w:name w:val="Body Text"/>
    <w:basedOn w:val="a"/>
    <w:link w:val="ae"/>
    <w:uiPriority w:val="99"/>
    <w:semiHidden/>
    <w:unhideWhenUsed/>
    <w:rsid w:val="001B5F17"/>
    <w:pPr>
      <w:spacing w:after="120"/>
    </w:pPr>
  </w:style>
  <w:style w:type="character" w:customStyle="1" w:styleId="ae">
    <w:name w:val="正文文本 字符"/>
    <w:basedOn w:val="a0"/>
    <w:link w:val="ad"/>
    <w:uiPriority w:val="99"/>
    <w:semiHidden/>
    <w:rsid w:val="001B5F17"/>
  </w:style>
  <w:style w:type="paragraph" w:styleId="af">
    <w:name w:val="Body Text Indent"/>
    <w:basedOn w:val="a"/>
    <w:link w:val="af0"/>
    <w:uiPriority w:val="99"/>
    <w:semiHidden/>
    <w:unhideWhenUsed/>
    <w:rsid w:val="001B5F17"/>
    <w:pPr>
      <w:spacing w:after="120"/>
      <w:ind w:left="283"/>
    </w:pPr>
  </w:style>
  <w:style w:type="character" w:customStyle="1" w:styleId="af0">
    <w:name w:val="正文文本缩进 字符"/>
    <w:basedOn w:val="a0"/>
    <w:link w:val="af"/>
    <w:uiPriority w:val="99"/>
    <w:semiHidden/>
    <w:rsid w:val="001B5F17"/>
  </w:style>
  <w:style w:type="paragraph" w:styleId="af1">
    <w:name w:val="Revision"/>
    <w:hidden/>
    <w:uiPriority w:val="99"/>
    <w:semiHidden/>
    <w:rsid w:val="00E943EC"/>
  </w:style>
  <w:style w:type="character" w:customStyle="1" w:styleId="apple-converted-space">
    <w:name w:val="apple-converted-space"/>
    <w:basedOn w:val="a0"/>
    <w:rsid w:val="00E943EC"/>
  </w:style>
  <w:style w:type="paragraph" w:styleId="af2">
    <w:name w:val="Date"/>
    <w:basedOn w:val="a"/>
    <w:next w:val="a"/>
    <w:link w:val="af3"/>
    <w:uiPriority w:val="99"/>
    <w:semiHidden/>
    <w:unhideWhenUsed/>
    <w:rsid w:val="00EC40D3"/>
    <w:pPr>
      <w:ind w:leftChars="2500" w:left="100"/>
    </w:pPr>
  </w:style>
  <w:style w:type="character" w:customStyle="1" w:styleId="af3">
    <w:name w:val="日期 字符"/>
    <w:basedOn w:val="a0"/>
    <w:link w:val="af2"/>
    <w:uiPriority w:val="99"/>
    <w:semiHidden/>
    <w:rsid w:val="00EC40D3"/>
  </w:style>
  <w:style w:type="paragraph" w:styleId="af4">
    <w:name w:val="endnote text"/>
    <w:basedOn w:val="a"/>
    <w:link w:val="af5"/>
    <w:uiPriority w:val="99"/>
    <w:semiHidden/>
    <w:unhideWhenUsed/>
    <w:rsid w:val="00A01086"/>
    <w:pPr>
      <w:snapToGrid w:val="0"/>
      <w:jc w:val="left"/>
    </w:pPr>
  </w:style>
  <w:style w:type="character" w:customStyle="1" w:styleId="af5">
    <w:name w:val="尾注文本 字符"/>
    <w:basedOn w:val="a0"/>
    <w:link w:val="af4"/>
    <w:uiPriority w:val="99"/>
    <w:semiHidden/>
    <w:rsid w:val="00A01086"/>
  </w:style>
  <w:style w:type="character" w:styleId="af6">
    <w:name w:val="endnote reference"/>
    <w:basedOn w:val="a0"/>
    <w:uiPriority w:val="99"/>
    <w:semiHidden/>
    <w:unhideWhenUsed/>
    <w:rsid w:val="00A01086"/>
    <w:rPr>
      <w:vertAlign w:val="superscript"/>
    </w:rPr>
  </w:style>
  <w:style w:type="numbering" w:customStyle="1" w:styleId="1">
    <w:name w:val="无列表1"/>
    <w:next w:val="a2"/>
    <w:uiPriority w:val="99"/>
    <w:semiHidden/>
    <w:unhideWhenUsed/>
    <w:rsid w:val="009E72F4"/>
  </w:style>
  <w:style w:type="character" w:customStyle="1" w:styleId="10">
    <w:name w:val="超链接1"/>
    <w:basedOn w:val="a0"/>
    <w:uiPriority w:val="99"/>
    <w:unhideWhenUsed/>
    <w:rsid w:val="009E72F4"/>
    <w:rPr>
      <w:color w:val="0563C1"/>
      <w:u w:val="single"/>
    </w:rPr>
  </w:style>
  <w:style w:type="table" w:styleId="af7">
    <w:name w:val="Table Grid"/>
    <w:basedOn w:val="a1"/>
    <w:uiPriority w:val="39"/>
    <w:rsid w:val="009E72F4"/>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9E72F4"/>
    <w:pPr>
      <w:widowControl/>
      <w:spacing w:before="100" w:beforeAutospacing="1" w:after="100" w:afterAutospacing="1"/>
      <w:jc w:val="left"/>
    </w:pPr>
    <w:rPr>
      <w:rFonts w:ascii="宋体" w:eastAsia="Times New Roman" w:hAnsi="Times New Roman" w:cs="Times New Roman"/>
      <w:kern w:val="0"/>
      <w:sz w:val="24"/>
      <w:szCs w:val="24"/>
      <w:lang w:val="en-GB" w:eastAsia="en-US"/>
    </w:rPr>
  </w:style>
  <w:style w:type="table" w:customStyle="1" w:styleId="1-11">
    <w:name w:val="网格表 1 浅色 - 着色 11"/>
    <w:basedOn w:val="a1"/>
    <w:next w:val="1-1"/>
    <w:uiPriority w:val="46"/>
    <w:rsid w:val="009E72F4"/>
    <w:rPr>
      <w:kern w:val="0"/>
      <w:sz w:val="24"/>
      <w:szCs w:val="24"/>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af9">
    <w:name w:val="page number"/>
    <w:basedOn w:val="a0"/>
    <w:uiPriority w:val="99"/>
    <w:semiHidden/>
    <w:unhideWhenUsed/>
    <w:rsid w:val="009E72F4"/>
  </w:style>
  <w:style w:type="character" w:customStyle="1" w:styleId="11">
    <w:name w:val="访问过的超链接1"/>
    <w:basedOn w:val="a0"/>
    <w:uiPriority w:val="99"/>
    <w:semiHidden/>
    <w:unhideWhenUsed/>
    <w:rsid w:val="009E72F4"/>
    <w:rPr>
      <w:color w:val="954F72"/>
      <w:u w:val="single"/>
    </w:rPr>
  </w:style>
  <w:style w:type="character" w:styleId="afa">
    <w:name w:val="Unresolved Mention"/>
    <w:basedOn w:val="a0"/>
    <w:uiPriority w:val="99"/>
    <w:semiHidden/>
    <w:unhideWhenUsed/>
    <w:rsid w:val="009E72F4"/>
    <w:rPr>
      <w:color w:val="605E5C"/>
      <w:shd w:val="clear" w:color="auto" w:fill="E1DFDD"/>
    </w:rPr>
  </w:style>
  <w:style w:type="character" w:styleId="afb">
    <w:name w:val="annotation reference"/>
    <w:basedOn w:val="a0"/>
    <w:uiPriority w:val="99"/>
    <w:semiHidden/>
    <w:unhideWhenUsed/>
    <w:rsid w:val="009E72F4"/>
    <w:rPr>
      <w:sz w:val="16"/>
      <w:szCs w:val="16"/>
    </w:rPr>
  </w:style>
  <w:style w:type="paragraph" w:styleId="afc">
    <w:name w:val="annotation text"/>
    <w:basedOn w:val="a"/>
    <w:link w:val="afd"/>
    <w:uiPriority w:val="99"/>
    <w:semiHidden/>
    <w:unhideWhenUsed/>
    <w:rsid w:val="009E72F4"/>
    <w:pPr>
      <w:widowControl/>
      <w:spacing w:after="200"/>
      <w:jc w:val="left"/>
    </w:pPr>
    <w:rPr>
      <w:kern w:val="0"/>
      <w:sz w:val="20"/>
      <w:szCs w:val="20"/>
      <w:lang w:eastAsia="en-US"/>
    </w:rPr>
  </w:style>
  <w:style w:type="character" w:customStyle="1" w:styleId="afd">
    <w:name w:val="批注文字 字符"/>
    <w:basedOn w:val="a0"/>
    <w:link w:val="afc"/>
    <w:uiPriority w:val="99"/>
    <w:semiHidden/>
    <w:rsid w:val="009E72F4"/>
    <w:rPr>
      <w:kern w:val="0"/>
      <w:sz w:val="20"/>
      <w:szCs w:val="20"/>
      <w:lang w:eastAsia="en-US"/>
    </w:rPr>
  </w:style>
  <w:style w:type="paragraph" w:customStyle="1" w:styleId="xmsolistparagraph">
    <w:name w:val="x_msolistparagraph"/>
    <w:basedOn w:val="a"/>
    <w:rsid w:val="009E72F4"/>
    <w:pPr>
      <w:widowControl/>
      <w:spacing w:before="100" w:beforeAutospacing="1" w:after="100" w:afterAutospacing="1"/>
      <w:jc w:val="left"/>
    </w:pPr>
    <w:rPr>
      <w:rFonts w:ascii="宋体" w:eastAsia="Times New Roman" w:hAnsi="Times New Roman" w:cs="Times New Roman"/>
      <w:kern w:val="0"/>
      <w:sz w:val="24"/>
      <w:szCs w:val="24"/>
      <w:lang w:val="en-GB" w:eastAsia="en-US"/>
    </w:rPr>
  </w:style>
  <w:style w:type="paragraph" w:styleId="afe">
    <w:name w:val="annotation subject"/>
    <w:basedOn w:val="afc"/>
    <w:next w:val="afc"/>
    <w:link w:val="aff"/>
    <w:uiPriority w:val="99"/>
    <w:semiHidden/>
    <w:unhideWhenUsed/>
    <w:rsid w:val="009E72F4"/>
    <w:pPr>
      <w:spacing w:after="0"/>
    </w:pPr>
    <w:rPr>
      <w:b/>
      <w:bCs/>
      <w:lang w:val="en-GB"/>
    </w:rPr>
  </w:style>
  <w:style w:type="character" w:customStyle="1" w:styleId="aff">
    <w:name w:val="批注主题 字符"/>
    <w:basedOn w:val="afd"/>
    <w:link w:val="afe"/>
    <w:uiPriority w:val="99"/>
    <w:semiHidden/>
    <w:rsid w:val="009E72F4"/>
    <w:rPr>
      <w:b/>
      <w:bCs/>
      <w:kern w:val="0"/>
      <w:sz w:val="20"/>
      <w:szCs w:val="20"/>
      <w:lang w:val="en-GB" w:eastAsia="en-US"/>
    </w:rPr>
  </w:style>
  <w:style w:type="paragraph" w:styleId="aff0">
    <w:name w:val="Balloon Text"/>
    <w:basedOn w:val="a"/>
    <w:link w:val="aff1"/>
    <w:uiPriority w:val="99"/>
    <w:semiHidden/>
    <w:unhideWhenUsed/>
    <w:rsid w:val="009E72F4"/>
    <w:pPr>
      <w:widowControl/>
      <w:jc w:val="left"/>
    </w:pPr>
    <w:rPr>
      <w:rFonts w:ascii="Times New Roman" w:hAnsi="Times New Roman" w:cs="Times New Roman"/>
      <w:kern w:val="0"/>
      <w:sz w:val="18"/>
      <w:szCs w:val="18"/>
      <w:lang w:val="en-GB" w:eastAsia="en-US"/>
    </w:rPr>
  </w:style>
  <w:style w:type="character" w:customStyle="1" w:styleId="aff1">
    <w:name w:val="批注框文本 字符"/>
    <w:basedOn w:val="a0"/>
    <w:link w:val="aff0"/>
    <w:uiPriority w:val="99"/>
    <w:semiHidden/>
    <w:rsid w:val="009E72F4"/>
    <w:rPr>
      <w:rFonts w:ascii="Times New Roman" w:hAnsi="Times New Roman" w:cs="Times New Roman"/>
      <w:kern w:val="0"/>
      <w:sz w:val="18"/>
      <w:szCs w:val="18"/>
      <w:lang w:val="en-GB" w:eastAsia="en-US"/>
    </w:rPr>
  </w:style>
  <w:style w:type="character" w:styleId="aff2">
    <w:name w:val="Hyperlink"/>
    <w:basedOn w:val="a0"/>
    <w:uiPriority w:val="99"/>
    <w:semiHidden/>
    <w:unhideWhenUsed/>
    <w:rsid w:val="009E72F4"/>
    <w:rPr>
      <w:color w:val="0563C1" w:themeColor="hyperlink"/>
      <w:u w:val="single"/>
    </w:rPr>
  </w:style>
  <w:style w:type="table" w:styleId="1-1">
    <w:name w:val="Grid Table 1 Light Accent 1"/>
    <w:basedOn w:val="a1"/>
    <w:uiPriority w:val="46"/>
    <w:rsid w:val="009E72F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ff3">
    <w:name w:val="FollowedHyperlink"/>
    <w:basedOn w:val="a0"/>
    <w:uiPriority w:val="99"/>
    <w:semiHidden/>
    <w:unhideWhenUsed/>
    <w:rsid w:val="009E7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694">
      <w:bodyDiv w:val="1"/>
      <w:marLeft w:val="0"/>
      <w:marRight w:val="0"/>
      <w:marTop w:val="0"/>
      <w:marBottom w:val="0"/>
      <w:divBdr>
        <w:top w:val="none" w:sz="0" w:space="0" w:color="auto"/>
        <w:left w:val="none" w:sz="0" w:space="0" w:color="auto"/>
        <w:bottom w:val="none" w:sz="0" w:space="0" w:color="auto"/>
        <w:right w:val="none" w:sz="0" w:space="0" w:color="auto"/>
      </w:divBdr>
    </w:div>
    <w:div w:id="136652941">
      <w:bodyDiv w:val="1"/>
      <w:marLeft w:val="0"/>
      <w:marRight w:val="0"/>
      <w:marTop w:val="0"/>
      <w:marBottom w:val="0"/>
      <w:divBdr>
        <w:top w:val="none" w:sz="0" w:space="0" w:color="auto"/>
        <w:left w:val="none" w:sz="0" w:space="0" w:color="auto"/>
        <w:bottom w:val="none" w:sz="0" w:space="0" w:color="auto"/>
        <w:right w:val="none" w:sz="0" w:space="0" w:color="auto"/>
      </w:divBdr>
    </w:div>
    <w:div w:id="245263949">
      <w:bodyDiv w:val="1"/>
      <w:marLeft w:val="0"/>
      <w:marRight w:val="0"/>
      <w:marTop w:val="0"/>
      <w:marBottom w:val="0"/>
      <w:divBdr>
        <w:top w:val="none" w:sz="0" w:space="0" w:color="auto"/>
        <w:left w:val="none" w:sz="0" w:space="0" w:color="auto"/>
        <w:bottom w:val="none" w:sz="0" w:space="0" w:color="auto"/>
        <w:right w:val="none" w:sz="0" w:space="0" w:color="auto"/>
      </w:divBdr>
    </w:div>
    <w:div w:id="374355562">
      <w:bodyDiv w:val="1"/>
      <w:marLeft w:val="0"/>
      <w:marRight w:val="0"/>
      <w:marTop w:val="0"/>
      <w:marBottom w:val="0"/>
      <w:divBdr>
        <w:top w:val="none" w:sz="0" w:space="0" w:color="auto"/>
        <w:left w:val="none" w:sz="0" w:space="0" w:color="auto"/>
        <w:bottom w:val="none" w:sz="0" w:space="0" w:color="auto"/>
        <w:right w:val="none" w:sz="0" w:space="0" w:color="auto"/>
      </w:divBdr>
    </w:div>
    <w:div w:id="710114158">
      <w:bodyDiv w:val="1"/>
      <w:marLeft w:val="0"/>
      <w:marRight w:val="0"/>
      <w:marTop w:val="0"/>
      <w:marBottom w:val="0"/>
      <w:divBdr>
        <w:top w:val="none" w:sz="0" w:space="0" w:color="auto"/>
        <w:left w:val="none" w:sz="0" w:space="0" w:color="auto"/>
        <w:bottom w:val="none" w:sz="0" w:space="0" w:color="auto"/>
        <w:right w:val="none" w:sz="0" w:space="0" w:color="auto"/>
      </w:divBdr>
    </w:div>
    <w:div w:id="908418500">
      <w:bodyDiv w:val="1"/>
      <w:marLeft w:val="0"/>
      <w:marRight w:val="0"/>
      <w:marTop w:val="0"/>
      <w:marBottom w:val="0"/>
      <w:divBdr>
        <w:top w:val="none" w:sz="0" w:space="0" w:color="auto"/>
        <w:left w:val="none" w:sz="0" w:space="0" w:color="auto"/>
        <w:bottom w:val="none" w:sz="0" w:space="0" w:color="auto"/>
        <w:right w:val="none" w:sz="0" w:space="0" w:color="auto"/>
      </w:divBdr>
    </w:div>
    <w:div w:id="914240685">
      <w:bodyDiv w:val="1"/>
      <w:marLeft w:val="0"/>
      <w:marRight w:val="0"/>
      <w:marTop w:val="0"/>
      <w:marBottom w:val="0"/>
      <w:divBdr>
        <w:top w:val="none" w:sz="0" w:space="0" w:color="auto"/>
        <w:left w:val="none" w:sz="0" w:space="0" w:color="auto"/>
        <w:bottom w:val="none" w:sz="0" w:space="0" w:color="auto"/>
        <w:right w:val="none" w:sz="0" w:space="0" w:color="auto"/>
      </w:divBdr>
    </w:div>
    <w:div w:id="1027636518">
      <w:bodyDiv w:val="1"/>
      <w:marLeft w:val="0"/>
      <w:marRight w:val="0"/>
      <w:marTop w:val="0"/>
      <w:marBottom w:val="0"/>
      <w:divBdr>
        <w:top w:val="none" w:sz="0" w:space="0" w:color="auto"/>
        <w:left w:val="none" w:sz="0" w:space="0" w:color="auto"/>
        <w:bottom w:val="none" w:sz="0" w:space="0" w:color="auto"/>
        <w:right w:val="none" w:sz="0" w:space="0" w:color="auto"/>
      </w:divBdr>
    </w:div>
    <w:div w:id="1027869880">
      <w:bodyDiv w:val="1"/>
      <w:marLeft w:val="0"/>
      <w:marRight w:val="0"/>
      <w:marTop w:val="0"/>
      <w:marBottom w:val="0"/>
      <w:divBdr>
        <w:top w:val="none" w:sz="0" w:space="0" w:color="auto"/>
        <w:left w:val="none" w:sz="0" w:space="0" w:color="auto"/>
        <w:bottom w:val="none" w:sz="0" w:space="0" w:color="auto"/>
        <w:right w:val="none" w:sz="0" w:space="0" w:color="auto"/>
      </w:divBdr>
    </w:div>
    <w:div w:id="1082023466">
      <w:bodyDiv w:val="1"/>
      <w:marLeft w:val="0"/>
      <w:marRight w:val="0"/>
      <w:marTop w:val="0"/>
      <w:marBottom w:val="0"/>
      <w:divBdr>
        <w:top w:val="none" w:sz="0" w:space="0" w:color="auto"/>
        <w:left w:val="none" w:sz="0" w:space="0" w:color="auto"/>
        <w:bottom w:val="none" w:sz="0" w:space="0" w:color="auto"/>
        <w:right w:val="none" w:sz="0" w:space="0" w:color="auto"/>
      </w:divBdr>
    </w:div>
    <w:div w:id="1159033704">
      <w:bodyDiv w:val="1"/>
      <w:marLeft w:val="0"/>
      <w:marRight w:val="0"/>
      <w:marTop w:val="0"/>
      <w:marBottom w:val="0"/>
      <w:divBdr>
        <w:top w:val="none" w:sz="0" w:space="0" w:color="auto"/>
        <w:left w:val="none" w:sz="0" w:space="0" w:color="auto"/>
        <w:bottom w:val="none" w:sz="0" w:space="0" w:color="auto"/>
        <w:right w:val="none" w:sz="0" w:space="0" w:color="auto"/>
      </w:divBdr>
    </w:div>
    <w:div w:id="1231115586">
      <w:bodyDiv w:val="1"/>
      <w:marLeft w:val="0"/>
      <w:marRight w:val="0"/>
      <w:marTop w:val="0"/>
      <w:marBottom w:val="0"/>
      <w:divBdr>
        <w:top w:val="none" w:sz="0" w:space="0" w:color="auto"/>
        <w:left w:val="none" w:sz="0" w:space="0" w:color="auto"/>
        <w:bottom w:val="none" w:sz="0" w:space="0" w:color="auto"/>
        <w:right w:val="none" w:sz="0" w:space="0" w:color="auto"/>
      </w:divBdr>
    </w:div>
    <w:div w:id="1286736131">
      <w:bodyDiv w:val="1"/>
      <w:marLeft w:val="0"/>
      <w:marRight w:val="0"/>
      <w:marTop w:val="0"/>
      <w:marBottom w:val="0"/>
      <w:divBdr>
        <w:top w:val="none" w:sz="0" w:space="0" w:color="auto"/>
        <w:left w:val="none" w:sz="0" w:space="0" w:color="auto"/>
        <w:bottom w:val="none" w:sz="0" w:space="0" w:color="auto"/>
        <w:right w:val="none" w:sz="0" w:space="0" w:color="auto"/>
      </w:divBdr>
    </w:div>
    <w:div w:id="1326470129">
      <w:bodyDiv w:val="1"/>
      <w:marLeft w:val="0"/>
      <w:marRight w:val="0"/>
      <w:marTop w:val="0"/>
      <w:marBottom w:val="0"/>
      <w:divBdr>
        <w:top w:val="none" w:sz="0" w:space="0" w:color="auto"/>
        <w:left w:val="none" w:sz="0" w:space="0" w:color="auto"/>
        <w:bottom w:val="none" w:sz="0" w:space="0" w:color="auto"/>
        <w:right w:val="none" w:sz="0" w:space="0" w:color="auto"/>
      </w:divBdr>
    </w:div>
    <w:div w:id="1407461241">
      <w:bodyDiv w:val="1"/>
      <w:marLeft w:val="0"/>
      <w:marRight w:val="0"/>
      <w:marTop w:val="0"/>
      <w:marBottom w:val="0"/>
      <w:divBdr>
        <w:top w:val="none" w:sz="0" w:space="0" w:color="auto"/>
        <w:left w:val="none" w:sz="0" w:space="0" w:color="auto"/>
        <w:bottom w:val="none" w:sz="0" w:space="0" w:color="auto"/>
        <w:right w:val="none" w:sz="0" w:space="0" w:color="auto"/>
      </w:divBdr>
    </w:div>
    <w:div w:id="1473795158">
      <w:bodyDiv w:val="1"/>
      <w:marLeft w:val="0"/>
      <w:marRight w:val="0"/>
      <w:marTop w:val="0"/>
      <w:marBottom w:val="0"/>
      <w:divBdr>
        <w:top w:val="none" w:sz="0" w:space="0" w:color="auto"/>
        <w:left w:val="none" w:sz="0" w:space="0" w:color="auto"/>
        <w:bottom w:val="none" w:sz="0" w:space="0" w:color="auto"/>
        <w:right w:val="none" w:sz="0" w:space="0" w:color="auto"/>
      </w:divBdr>
    </w:div>
    <w:div w:id="1482772294">
      <w:bodyDiv w:val="1"/>
      <w:marLeft w:val="0"/>
      <w:marRight w:val="0"/>
      <w:marTop w:val="0"/>
      <w:marBottom w:val="0"/>
      <w:divBdr>
        <w:top w:val="none" w:sz="0" w:space="0" w:color="auto"/>
        <w:left w:val="none" w:sz="0" w:space="0" w:color="auto"/>
        <w:bottom w:val="none" w:sz="0" w:space="0" w:color="auto"/>
        <w:right w:val="none" w:sz="0" w:space="0" w:color="auto"/>
      </w:divBdr>
    </w:div>
    <w:div w:id="1504510199">
      <w:bodyDiv w:val="1"/>
      <w:marLeft w:val="0"/>
      <w:marRight w:val="0"/>
      <w:marTop w:val="0"/>
      <w:marBottom w:val="0"/>
      <w:divBdr>
        <w:top w:val="none" w:sz="0" w:space="0" w:color="auto"/>
        <w:left w:val="none" w:sz="0" w:space="0" w:color="auto"/>
        <w:bottom w:val="none" w:sz="0" w:space="0" w:color="auto"/>
        <w:right w:val="none" w:sz="0" w:space="0" w:color="auto"/>
      </w:divBdr>
    </w:div>
    <w:div w:id="1525826408">
      <w:bodyDiv w:val="1"/>
      <w:marLeft w:val="0"/>
      <w:marRight w:val="0"/>
      <w:marTop w:val="0"/>
      <w:marBottom w:val="0"/>
      <w:divBdr>
        <w:top w:val="none" w:sz="0" w:space="0" w:color="auto"/>
        <w:left w:val="none" w:sz="0" w:space="0" w:color="auto"/>
        <w:bottom w:val="none" w:sz="0" w:space="0" w:color="auto"/>
        <w:right w:val="none" w:sz="0" w:space="0" w:color="auto"/>
      </w:divBdr>
    </w:div>
    <w:div w:id="1540320380">
      <w:bodyDiv w:val="1"/>
      <w:marLeft w:val="0"/>
      <w:marRight w:val="0"/>
      <w:marTop w:val="0"/>
      <w:marBottom w:val="0"/>
      <w:divBdr>
        <w:top w:val="none" w:sz="0" w:space="0" w:color="auto"/>
        <w:left w:val="none" w:sz="0" w:space="0" w:color="auto"/>
        <w:bottom w:val="none" w:sz="0" w:space="0" w:color="auto"/>
        <w:right w:val="none" w:sz="0" w:space="0" w:color="auto"/>
      </w:divBdr>
    </w:div>
    <w:div w:id="1565993049">
      <w:bodyDiv w:val="1"/>
      <w:marLeft w:val="0"/>
      <w:marRight w:val="0"/>
      <w:marTop w:val="0"/>
      <w:marBottom w:val="0"/>
      <w:divBdr>
        <w:top w:val="none" w:sz="0" w:space="0" w:color="auto"/>
        <w:left w:val="none" w:sz="0" w:space="0" w:color="auto"/>
        <w:bottom w:val="none" w:sz="0" w:space="0" w:color="auto"/>
        <w:right w:val="none" w:sz="0" w:space="0" w:color="auto"/>
      </w:divBdr>
    </w:div>
    <w:div w:id="1635136940">
      <w:bodyDiv w:val="1"/>
      <w:marLeft w:val="0"/>
      <w:marRight w:val="0"/>
      <w:marTop w:val="0"/>
      <w:marBottom w:val="0"/>
      <w:divBdr>
        <w:top w:val="none" w:sz="0" w:space="0" w:color="auto"/>
        <w:left w:val="none" w:sz="0" w:space="0" w:color="auto"/>
        <w:bottom w:val="none" w:sz="0" w:space="0" w:color="auto"/>
        <w:right w:val="none" w:sz="0" w:space="0" w:color="auto"/>
      </w:divBdr>
    </w:div>
    <w:div w:id="1710257892">
      <w:bodyDiv w:val="1"/>
      <w:marLeft w:val="0"/>
      <w:marRight w:val="0"/>
      <w:marTop w:val="0"/>
      <w:marBottom w:val="0"/>
      <w:divBdr>
        <w:top w:val="none" w:sz="0" w:space="0" w:color="auto"/>
        <w:left w:val="none" w:sz="0" w:space="0" w:color="auto"/>
        <w:bottom w:val="none" w:sz="0" w:space="0" w:color="auto"/>
        <w:right w:val="none" w:sz="0" w:space="0" w:color="auto"/>
      </w:divBdr>
    </w:div>
    <w:div w:id="1815174292">
      <w:bodyDiv w:val="1"/>
      <w:marLeft w:val="0"/>
      <w:marRight w:val="0"/>
      <w:marTop w:val="0"/>
      <w:marBottom w:val="0"/>
      <w:divBdr>
        <w:top w:val="none" w:sz="0" w:space="0" w:color="auto"/>
        <w:left w:val="none" w:sz="0" w:space="0" w:color="auto"/>
        <w:bottom w:val="none" w:sz="0" w:space="0" w:color="auto"/>
        <w:right w:val="none" w:sz="0" w:space="0" w:color="auto"/>
      </w:divBdr>
    </w:div>
    <w:div w:id="1858038133">
      <w:bodyDiv w:val="1"/>
      <w:marLeft w:val="0"/>
      <w:marRight w:val="0"/>
      <w:marTop w:val="0"/>
      <w:marBottom w:val="0"/>
      <w:divBdr>
        <w:top w:val="none" w:sz="0" w:space="0" w:color="auto"/>
        <w:left w:val="none" w:sz="0" w:space="0" w:color="auto"/>
        <w:bottom w:val="none" w:sz="0" w:space="0" w:color="auto"/>
        <w:right w:val="none" w:sz="0" w:space="0" w:color="auto"/>
      </w:divBdr>
    </w:div>
    <w:div w:id="1957561188">
      <w:bodyDiv w:val="1"/>
      <w:marLeft w:val="0"/>
      <w:marRight w:val="0"/>
      <w:marTop w:val="0"/>
      <w:marBottom w:val="0"/>
      <w:divBdr>
        <w:top w:val="none" w:sz="0" w:space="0" w:color="auto"/>
        <w:left w:val="none" w:sz="0" w:space="0" w:color="auto"/>
        <w:bottom w:val="none" w:sz="0" w:space="0" w:color="auto"/>
        <w:right w:val="none" w:sz="0" w:space="0" w:color="auto"/>
      </w:divBdr>
    </w:div>
    <w:div w:id="2069765264">
      <w:bodyDiv w:val="1"/>
      <w:marLeft w:val="0"/>
      <w:marRight w:val="0"/>
      <w:marTop w:val="0"/>
      <w:marBottom w:val="0"/>
      <w:divBdr>
        <w:top w:val="none" w:sz="0" w:space="0" w:color="auto"/>
        <w:left w:val="none" w:sz="0" w:space="0" w:color="auto"/>
        <w:bottom w:val="none" w:sz="0" w:space="0" w:color="auto"/>
        <w:right w:val="none" w:sz="0" w:space="0" w:color="auto"/>
      </w:divBdr>
    </w:div>
    <w:div w:id="2074431083">
      <w:bodyDiv w:val="1"/>
      <w:marLeft w:val="0"/>
      <w:marRight w:val="0"/>
      <w:marTop w:val="0"/>
      <w:marBottom w:val="0"/>
      <w:divBdr>
        <w:top w:val="none" w:sz="0" w:space="0" w:color="auto"/>
        <w:left w:val="none" w:sz="0" w:space="0" w:color="auto"/>
        <w:bottom w:val="none" w:sz="0" w:space="0" w:color="auto"/>
        <w:right w:val="none" w:sz="0" w:space="0" w:color="auto"/>
      </w:divBdr>
    </w:div>
    <w:div w:id="21168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ietnaminvest.gov.vn/SitePages/List_View.aspx?ChuyenMuc=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 A P _ D M S ! 4 1 1 0 0 1 8 4 3 . 2 < / d o c u m e n t i d >  
     < s e n d e r i d > K L A H R < / s e n d e r i d >  
     < s e n d e r e m a i l > A D D Y . H E R G @ W O N G P A R T N E R S . C O M < / s e n d e r e m a i l >  
     < l a s t m o d i f i e d > 2 0 2 2 - 0 2 - 2 2 T 0 0 : 5 3 : 0 0 . 0 0 0 0 0 0 0 + 0 8 : 0 0 < / l a s t m o d i f i e d >  
     < d a t a b a s e > A P _ D M S 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0CFF-C958-4415-8F5A-85F2BC90ED05}">
  <ds:schemaRefs>
    <ds:schemaRef ds:uri="http://www.imanage.com/work/xmlschema"/>
  </ds:schemaRefs>
</ds:datastoreItem>
</file>

<file path=customXml/itemProps2.xml><?xml version="1.0" encoding="utf-8"?>
<ds:datastoreItem xmlns:ds="http://schemas.openxmlformats.org/officeDocument/2006/customXml" ds:itemID="{21BEFCA0-8A73-4949-80C4-07593500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DeHeng</dc:creator>
  <cp:keywords/>
  <dc:description/>
  <cp:lastModifiedBy>DeHeng</cp:lastModifiedBy>
  <cp:revision>12</cp:revision>
  <dcterms:created xsi:type="dcterms:W3CDTF">2022-03-21T08:21:00Z</dcterms:created>
  <dcterms:modified xsi:type="dcterms:W3CDTF">2022-04-11T06:08:00Z</dcterms:modified>
</cp:coreProperties>
</file>